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Design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Problem - Solution Fit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pStyle w:val="Heading2"/>
        <w:spacing w:after="120" w:before="240"/>
      </w:pPr>
      <w:r>
        <w:t xml:space="preserve">Problem - Solution Fit Canvas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Canvas Dimension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First-time borrowers, salaried individuals, and students exploring personal/education loans who lack financial-advisory access.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Jobs / Problems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loan eligibility before applying; understand credit score; calculate EMI; get financial guidance suited to their numbers.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Triggers (what pushes them to act)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upcoming purchase or expense requiring a loan; a bank rejection; curiosity about their own credit health.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Emotions Before (Existing)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Anxious, confused by banking jargon, afraid of a hard credit-check rejection, overwhelmed by generic advice.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Existing Alternatives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bank eligibility pages (require login/branch visit); third-party credit score apps (separate from EMI/eligibility tools); generic financial-advice blogs.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Channels of Behaviour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search, bank websites, financial YouTube/blogs, word-of-mouth from friends/family.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Constraints / Context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time for branch visits; hesitant to share sensitive data with unfamiliar apps; often on mobile; expect an instant, free answer.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 Solution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AI: one no-login web app combining Loan Eligibility Checker, Credit Score Analyzer, EMI Calculator and Groq AI-powered financial tips, accessible instantly from any device.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Emotions After (Desired)</w:t>
            </w:r>
          </w:p>
        </w:tc>
        <w:tc>
          <w:tcPr>
            <w:tcW w:type="dxa" w:w="6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Confident, informed, and prepared - with a clear eligibility result, credit understanding, an accurate EMI figure, and a concrete next step.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2026-07-19T21:20:28.552Z</dcterms:created>
  <dcterms:modified xsi:type="dcterms:W3CDTF">2026-07-19T21:20:28.552Z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