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Solution Architecture Diagram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false"/>
          <w:bCs w:val="false"/>
          <w:i/>
          <w:iCs/>
          <w:sz w:val="18"/>
          <w:szCs w:val="18"/>
        </w:rPr>
        <w:t xml:space="preserve">Figure 1: FinWise AI solution architecture - static frontend calling Groq AI and a Google Apps Script + Sheets backend.</w:t>
      </w:r>
    </w:p>
    <w:p>
      <w:pPr>
        <w:pStyle w:val="Heading2"/>
        <w:spacing w:after="120" w:before="240"/>
      </w:pPr>
      <w:r>
        <w:t xml:space="preserve">Architecture Description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index.html, eligibility.html, credit-score.html, emi.html, tips.html - built with HTML5, CSS3 (glassmorphism theme) and vanilla JavaScript; hosted on GitHub Pages.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/ Logic Layer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JavaScript modules (app.js, eligibility.js, credit-score.js, emi.js, tips.js) implement the rule engines for eligibility, credit classification and EMI, and orchestrate calls to the Groq AI API.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Services Layer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AI Chat Completions API (LLaMA-family models) receives the user's financial inputs as a prompt and returns personalised financial guidance in real time.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/ Integration Layer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Google Apps Script Web App exposes a doPost endpoint; the frontend POSTs each result as JSON, and the script appends it as a row in a linked Google Sheet, acting as a lightweight, serverless data store.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entire frontend is static and deployed via GitHub Pages, requiring no application server; Groq and Apps Script are called directly from the browser over HTTPS.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f460cc62c09c5f17cc2c3cfdb48f9dfe58f0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2026-07-19T21:20:28.603Z</dcterms:created>
  <dcterms:modified xsi:type="dcterms:W3CDTF">2026-07-19T21:20:28.603Z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