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25"/>
        <w:ind w:left="40" w:right="20" w:hanging="40"/>
        <w:jc w:val="center"/>
        <w:spacing w:line="276" w:lineRule="auto"/>
        <w:shd w:val="clear" w:color="auto" w:fill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Анализ рассмотренных обращений, причин и условий, способствующих увеличению количества обращений граждан, объединений граждан, в том числе юридических лиц за </w:t>
      </w:r>
      <w:r>
        <w:rPr>
          <w:b/>
          <w:sz w:val="28"/>
          <w:szCs w:val="28"/>
          <w:lang w:val="en-US"/>
        </w:rPr>
        <w:t xml:space="preserve">I</w:t>
      </w:r>
      <w:r>
        <w:rPr>
          <w:color w:val="000000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квартал</w:t>
      </w:r>
      <w:r>
        <w:rPr>
          <w:b/>
          <w:sz w:val="28"/>
          <w:szCs w:val="28"/>
        </w:rPr>
        <w:t xml:space="preserve"> 20</w:t>
      </w:r>
      <w:r>
        <w:rPr>
          <w:b/>
          <w:sz w:val="28"/>
          <w:szCs w:val="28"/>
        </w:rPr>
        <w:t xml:space="preserve">2</w:t>
      </w:r>
      <w:r>
        <w:rPr>
          <w:b/>
          <w:sz w:val="28"/>
          <w:szCs w:val="28"/>
        </w:rPr>
        <w:t xml:space="preserve">3 года.</w:t>
      </w:r>
      <w:r>
        <w:rPr>
          <w:sz w:val="28"/>
          <w:szCs w:val="28"/>
        </w:rPr>
      </w:r>
    </w:p>
    <w:p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tabs>
          <w:tab w:val="left" w:pos="-360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Реестру за </w:t>
      </w:r>
      <w:r>
        <w:rPr>
          <w:color w:val="000000"/>
          <w:sz w:val="28"/>
          <w:szCs w:val="28"/>
          <w:lang w:val="en-US"/>
        </w:rPr>
        <w:t xml:space="preserve">I</w:t>
      </w:r>
      <w:r>
        <w:rPr>
          <w:color w:val="000000"/>
          <w:sz w:val="28"/>
          <w:szCs w:val="28"/>
        </w:rPr>
        <w:t xml:space="preserve"> квартал 20</w:t>
      </w:r>
      <w:r>
        <w:rPr>
          <w:color w:val="000000"/>
          <w:sz w:val="28"/>
          <w:szCs w:val="28"/>
        </w:rPr>
        <w:t xml:space="preserve">2</w:t>
      </w:r>
      <w:r>
        <w:rPr>
          <w:color w:val="000000"/>
          <w:sz w:val="28"/>
          <w:szCs w:val="28"/>
        </w:rPr>
        <w:t xml:space="preserve">3 года </w:t>
      </w:r>
      <w:r>
        <w:rPr>
          <w:color w:val="000000"/>
          <w:sz w:val="28"/>
          <w:szCs w:val="28"/>
        </w:rPr>
        <w:t xml:space="preserve">в Департамент </w:t>
      </w:r>
      <w:r>
        <w:rPr>
          <w:color w:val="000000"/>
          <w:sz w:val="28"/>
          <w:szCs w:val="28"/>
        </w:rPr>
        <w:t xml:space="preserve">государственной гражданской службы и кадровой политики Ханты-Мансийского автономного округа – Югры (далее – Департамент) </w:t>
      </w:r>
      <w:r>
        <w:rPr>
          <w:color w:val="000000"/>
          <w:sz w:val="28"/>
          <w:szCs w:val="28"/>
        </w:rPr>
        <w:t xml:space="preserve">поступило:</w:t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tabs>
          <w:tab w:val="left" w:pos="-3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44 </w:t>
      </w:r>
      <w:r>
        <w:rPr>
          <w:sz w:val="28"/>
          <w:szCs w:val="28"/>
        </w:rPr>
        <w:t xml:space="preserve">обращени</w:t>
      </w:r>
      <w:r>
        <w:rPr>
          <w:sz w:val="28"/>
          <w:szCs w:val="28"/>
        </w:rPr>
        <w:t xml:space="preserve">я граждан и организаций, в том числе: </w:t>
      </w:r>
      <w:r>
        <w:rPr>
          <w:sz w:val="28"/>
          <w:szCs w:val="28"/>
        </w:rPr>
        <w:t xml:space="preserve">поступившее на «телефон доверия» по фактам коррупционной направленности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12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из Аппарата Губернатора Ханты-Мансийского автономного округа – Югры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23 (по 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обращениям Департамент являлся основным исполнителем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, непосредственно в Департамент – </w:t>
      </w:r>
      <w:r>
        <w:rPr>
          <w:sz w:val="28"/>
          <w:szCs w:val="28"/>
        </w:rPr>
        <w:t xml:space="preserve">9, три из них были переадресованы по компетенции из других органов власти автономного округа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1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Из общего количества поступивших </w:t>
      </w:r>
      <w:r>
        <w:rPr>
          <w:sz w:val="28"/>
          <w:szCs w:val="28"/>
        </w:rPr>
        <w:t xml:space="preserve">в Департамент</w:t>
      </w:r>
      <w:r>
        <w:rPr>
          <w:sz w:val="28"/>
          <w:szCs w:val="28"/>
        </w:rPr>
        <w:t xml:space="preserve"> обращений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3 обращени</w:t>
      </w:r>
      <w:r>
        <w:rPr>
          <w:sz w:val="28"/>
          <w:szCs w:val="28"/>
        </w:rPr>
        <w:t xml:space="preserve">я из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Ханты-Мансийск</w:t>
      </w: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 одному обращению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</w:t>
      </w:r>
      <w:r>
        <w:rPr>
          <w:sz w:val="28"/>
          <w:szCs w:val="28"/>
        </w:rPr>
        <w:t xml:space="preserve"> Советского</w:t>
      </w:r>
      <w:r>
        <w:rPr>
          <w:sz w:val="28"/>
          <w:szCs w:val="28"/>
        </w:rPr>
        <w:t xml:space="preserve">, Радужного</w:t>
      </w:r>
      <w:r>
        <w:rPr>
          <w:sz w:val="28"/>
          <w:szCs w:val="28"/>
        </w:rPr>
        <w:t xml:space="preserve">, Сургутского</w:t>
      </w:r>
      <w:r>
        <w:rPr>
          <w:sz w:val="28"/>
          <w:szCs w:val="28"/>
        </w:rPr>
        <w:t xml:space="preserve"> район</w:t>
      </w: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 и Тюмени. </w:t>
      </w:r>
      <w:r>
        <w:rPr>
          <w:sz w:val="28"/>
          <w:szCs w:val="28"/>
        </w:rPr>
        <w:t xml:space="preserve">Два обращения анонимные, одно их них было перенаправлено по компетенции в следственные органы. Всего в обращениях </w:t>
      </w:r>
      <w:r>
        <w:rPr>
          <w:color w:val="000000"/>
          <w:sz w:val="28"/>
          <w:szCs w:val="28"/>
        </w:rPr>
        <w:t xml:space="preserve">содержалось </w:t>
      </w:r>
      <w:r>
        <w:rPr>
          <w:sz w:val="28"/>
          <w:szCs w:val="28"/>
        </w:rPr>
        <w:t xml:space="preserve">16 </w:t>
      </w:r>
      <w:r>
        <w:rPr>
          <w:sz w:val="28"/>
          <w:szCs w:val="28"/>
        </w:rPr>
        <w:t xml:space="preserve">вопрос</w:t>
      </w:r>
      <w:r>
        <w:rPr>
          <w:sz w:val="28"/>
          <w:szCs w:val="28"/>
        </w:rPr>
        <w:t xml:space="preserve">ов, в том числе в обращениях, поступивших из Аппарата Губернатора, Правительства</w:t>
      </w:r>
      <w:r>
        <w:rPr>
          <w:sz w:val="28"/>
          <w:szCs w:val="28"/>
        </w:rPr>
        <w:t xml:space="preserve"> Ханты-Мансийского автономного округа – Югры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5, </w:t>
      </w:r>
      <w:r>
        <w:rPr>
          <w:sz w:val="28"/>
          <w:szCs w:val="28"/>
        </w:rPr>
        <w:t xml:space="preserve">напрямую </w:t>
      </w:r>
      <w:r>
        <w:rPr>
          <w:sz w:val="28"/>
          <w:szCs w:val="28"/>
        </w:rPr>
        <w:t xml:space="preserve">в Департамент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11.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rPr>
          <w:sz w:val="16"/>
          <w:szCs w:val="16"/>
        </w:rPr>
      </w:pPr>
      <w:r>
        <w:rPr>
          <w:sz w:val="28"/>
          <w:szCs w:val="28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14"/>
        <w:ind w:firstLine="708"/>
        <w:jc w:val="both"/>
        <w:spacing w:line="276" w:lineRule="auto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Тематические разделы поступивших обращений граждан с обозначением наиболее часто встречающихся и актуальных тем:</w:t>
      </w:r>
      <w:r>
        <w:rPr>
          <w:sz w:val="28"/>
          <w:szCs w:val="28"/>
        </w:rPr>
      </w:r>
    </w:p>
    <w:p>
      <w:pPr>
        <w:ind w:firstLine="708"/>
        <w:jc w:val="both"/>
        <w:spacing w:line="276" w:lineRule="auto"/>
        <w:rPr>
          <w:sz w:val="16"/>
          <w:szCs w:val="16"/>
        </w:rPr>
      </w:pPr>
      <w:r>
        <w:rPr>
          <w:sz w:val="27"/>
          <w:szCs w:val="27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</w:p>
    <w:tbl>
      <w:tblPr>
        <w:tblW w:w="9072" w:type="dxa"/>
        <w:tblInd w:w="5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90"/>
        <w:gridCol w:w="7326"/>
        <w:gridCol w:w="1056"/>
      </w:tblGrid>
      <w:tr>
        <w:trPr/>
        <w:tc>
          <w:tcPr>
            <w:tcW w:w="690" w:type="dxa"/>
            <w:vAlign w:val="top"/>
            <w:textDirection w:val="lrTb"/>
            <w:noWrap w:val="false"/>
          </w:tcPr>
          <w:p>
            <w:pPr>
              <w:pStyle w:val="814"/>
              <w:jc w:val="center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</w:t>
            </w:r>
            <w:r/>
          </w:p>
        </w:tc>
        <w:tc>
          <w:tcPr>
            <w:tcW w:w="7326" w:type="dxa"/>
            <w:vAlign w:val="top"/>
            <w:textDirection w:val="lrTb"/>
            <w:noWrap w:val="false"/>
          </w:tcPr>
          <w:p>
            <w:pPr>
              <w:pStyle w:val="814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Д</w:t>
            </w:r>
            <w:r>
              <w:rPr>
                <w:sz w:val="28"/>
                <w:szCs w:val="28"/>
              </w:rPr>
              <w:t xml:space="preserve">еятельность органов исполнительной власти субъекта Российской Федерации. Принимаемые решения</w:t>
            </w:r>
            <w:r>
              <w:rPr>
                <w:sz w:val="28"/>
                <w:szCs w:val="28"/>
                <w:highlight w:val="yellow"/>
              </w:rPr>
            </w:r>
            <w:r/>
          </w:p>
          <w:p>
            <w:pPr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yellow"/>
              </w:rPr>
            </w:r>
            <w:r/>
          </w:p>
        </w:tc>
        <w:tc>
          <w:tcPr>
            <w:tcW w:w="1056" w:type="dxa"/>
            <w:vAlign w:val="top"/>
            <w:textDirection w:val="lrTb"/>
            <w:noWrap w:val="false"/>
          </w:tcPr>
          <w:p>
            <w:pPr>
              <w:pStyle w:val="814"/>
              <w:jc w:val="center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</w:t>
            </w:r>
            <w:r/>
          </w:p>
        </w:tc>
      </w:tr>
      <w:tr>
        <w:trPr/>
        <w:tc>
          <w:tcPr>
            <w:tcW w:w="690" w:type="dxa"/>
            <w:vAlign w:val="top"/>
            <w:vMerge w:val="restart"/>
            <w:textDirection w:val="lrTb"/>
            <w:noWrap w:val="false"/>
          </w:tcPr>
          <w:p>
            <w:pPr>
              <w:pStyle w:val="814"/>
              <w:jc w:val="center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  <w:r/>
          </w:p>
        </w:tc>
        <w:tc>
          <w:tcPr>
            <w:tcW w:w="7326" w:type="dxa"/>
            <w:vAlign w:val="top"/>
            <w:vMerge w:val="restart"/>
            <w:textDirection w:val="lrTb"/>
            <w:noWrap w:val="false"/>
          </w:tcPr>
          <w:p>
            <w:pPr>
              <w:pStyle w:val="814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Деятельность исполнительно-распорядительных органов местного самоуправления и его руководителей</w:t>
            </w:r>
            <w:r>
              <w:rPr>
                <w:sz w:val="28"/>
                <w:szCs w:val="28"/>
                <w:highlight w:val="yellow"/>
              </w:rPr>
            </w:r>
            <w:r/>
          </w:p>
          <w:p>
            <w:pPr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yellow"/>
              </w:rPr>
            </w:r>
            <w:r/>
          </w:p>
        </w:tc>
        <w:tc>
          <w:tcPr>
            <w:tcW w:w="1056" w:type="dxa"/>
            <w:vAlign w:val="top"/>
            <w:vMerge w:val="restart"/>
            <w:textDirection w:val="lrTb"/>
            <w:noWrap w:val="false"/>
          </w:tcPr>
          <w:p>
            <w:pPr>
              <w:jc w:val="center"/>
            </w:pPr>
            <w:r>
              <w:t xml:space="preserve">4</w:t>
            </w:r>
            <w:r/>
          </w:p>
        </w:tc>
      </w:tr>
      <w:tr>
        <w:trPr/>
        <w:tc>
          <w:tcPr>
            <w:tcW w:w="690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3</w:t>
            </w:r>
            <w:r/>
          </w:p>
        </w:tc>
        <w:tc>
          <w:tcPr>
            <w:tcW w:w="7326" w:type="dxa"/>
            <w:vAlign w:val="top"/>
            <w:textDirection w:val="lrTb"/>
            <w:noWrap w:val="false"/>
          </w:tcPr>
          <w:p>
            <w:pPr>
              <w:pStyle w:val="814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Борьба с коррупцией</w:t>
            </w:r>
            <w:r>
              <w:rPr>
                <w:sz w:val="28"/>
                <w:szCs w:val="28"/>
              </w:rPr>
            </w:r>
            <w:r/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</w:rPr>
            </w:r>
            <w:r/>
          </w:p>
        </w:tc>
        <w:tc>
          <w:tcPr>
            <w:tcW w:w="1056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3</w:t>
            </w:r>
            <w:r/>
          </w:p>
        </w:tc>
      </w:tr>
      <w:tr>
        <w:trPr/>
        <w:tc>
          <w:tcPr>
            <w:tcW w:w="690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4</w:t>
            </w:r>
            <w:r/>
          </w:p>
        </w:tc>
        <w:tc>
          <w:tcPr>
            <w:tcW w:w="7326" w:type="dxa"/>
            <w:vAlign w:val="top"/>
            <w:textDirection w:val="lrTb"/>
            <w:noWrap w:val="false"/>
          </w:tcPr>
          <w:p>
            <w:pPr>
              <w:pStyle w:val="814"/>
              <w:rPr>
                <w:highlight w:val="yellow"/>
              </w:rPr>
            </w:pPr>
            <w:r>
              <w:rPr>
                <w:sz w:val="28"/>
                <w:szCs w:val="28"/>
              </w:rPr>
              <w:t xml:space="preserve">Прохождение государственной службы Российской Федерации</w:t>
            </w:r>
            <w:r>
              <w:rPr>
                <w:sz w:val="28"/>
                <w:szCs w:val="28"/>
                <w:highlight w:val="yellow"/>
              </w:rPr>
            </w:r>
            <w:r/>
          </w:p>
        </w:tc>
        <w:tc>
          <w:tcPr>
            <w:tcW w:w="1056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1</w:t>
            </w:r>
            <w:r/>
          </w:p>
        </w:tc>
      </w:tr>
      <w:tr>
        <w:trPr/>
        <w:tc>
          <w:tcPr>
            <w:tcW w:w="690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5</w:t>
            </w:r>
            <w:r/>
          </w:p>
        </w:tc>
        <w:tc>
          <w:tcPr>
            <w:tcW w:w="7326" w:type="dxa"/>
            <w:vAlign w:val="top"/>
            <w:textDirection w:val="lrTb"/>
            <w:noWrap w:val="false"/>
          </w:tcPr>
          <w:p>
            <w:pPr>
              <w:pStyle w:val="81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Выполнение государственных гарантий на гражданской службе</w:t>
            </w:r>
            <w:r>
              <w:rPr>
                <w:sz w:val="28"/>
                <w:szCs w:val="28"/>
              </w:rPr>
            </w:r>
            <w:r/>
          </w:p>
        </w:tc>
        <w:tc>
          <w:tcPr>
            <w:tcW w:w="1056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1</w:t>
            </w:r>
            <w:r/>
          </w:p>
        </w:tc>
      </w:tr>
      <w:tr>
        <w:trPr/>
        <w:tc>
          <w:tcPr>
            <w:tcW w:w="690" w:type="dxa"/>
            <w:vAlign w:val="top"/>
            <w:textDirection w:val="lrTb"/>
            <w:noWrap w:val="false"/>
          </w:tcPr>
          <w:p>
            <w:pPr>
              <w:pStyle w:val="814"/>
              <w:jc w:val="center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  <w:r/>
          </w:p>
        </w:tc>
        <w:tc>
          <w:tcPr>
            <w:tcW w:w="7326" w:type="dxa"/>
            <w:vAlign w:val="top"/>
            <w:textDirection w:val="lrTb"/>
            <w:noWrap w:val="false"/>
          </w:tcPr>
          <w:p>
            <w:pPr>
              <w:pStyle w:val="814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Трудовой стаж</w:t>
            </w:r>
            <w:r/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</w:rPr>
            </w:r>
            <w:r/>
          </w:p>
        </w:tc>
        <w:tc>
          <w:tcPr>
            <w:tcW w:w="1056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1</w:t>
            </w:r>
            <w:r/>
          </w:p>
        </w:tc>
      </w:tr>
      <w:tr>
        <w:trPr/>
        <w:tc>
          <w:tcPr>
            <w:tcW w:w="690" w:type="dxa"/>
            <w:vAlign w:val="top"/>
            <w:textDirection w:val="lrTb"/>
            <w:noWrap w:val="false"/>
          </w:tcPr>
          <w:p>
            <w:pPr>
              <w:pStyle w:val="814"/>
              <w:jc w:val="center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</w:r>
            <w:r/>
          </w:p>
        </w:tc>
        <w:tc>
          <w:tcPr>
            <w:tcW w:w="7326" w:type="dxa"/>
            <w:vAlign w:val="top"/>
            <w:textDirection w:val="lrTb"/>
            <w:noWrap w:val="false"/>
          </w:tcPr>
          <w:p>
            <w:pPr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Заработная плата, система оплаты труда в бюджетной сфере и учреждениях, на унитарных предприятиях</w:t>
            </w:r>
            <w:r/>
          </w:p>
          <w:p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  <w:r/>
          </w:p>
        </w:tc>
        <w:tc>
          <w:tcPr>
            <w:tcW w:w="1056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1</w:t>
            </w:r>
            <w:r/>
          </w:p>
        </w:tc>
      </w:tr>
      <w:tr>
        <w:trPr/>
        <w:tc>
          <w:tcPr>
            <w:tcW w:w="690" w:type="dxa"/>
            <w:vAlign w:val="top"/>
            <w:textDirection w:val="lrTb"/>
            <w:noWrap w:val="false"/>
          </w:tcPr>
          <w:p>
            <w:pPr>
              <w:pStyle w:val="814"/>
              <w:jc w:val="center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  <w:r/>
          </w:p>
        </w:tc>
        <w:tc>
          <w:tcPr>
            <w:tcW w:w="7326" w:type="dxa"/>
            <w:vAlign w:val="top"/>
            <w:textDirection w:val="lrTb"/>
            <w:noWrap w:val="false"/>
          </w:tcPr>
          <w:p>
            <w:pPr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Вопросы кадрового обеспечения организаций, предприятий и учреждений. Резерв управленческих кадров</w:t>
            </w:r>
            <w:r>
              <w:rPr>
                <w:sz w:val="28"/>
                <w:szCs w:val="28"/>
              </w:rPr>
            </w:r>
            <w:r/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</w:rPr>
            </w:r>
            <w:r/>
          </w:p>
        </w:tc>
        <w:tc>
          <w:tcPr>
            <w:tcW w:w="1056" w:type="dxa"/>
            <w:vAlign w:val="top"/>
            <w:textDirection w:val="lrTb"/>
            <w:noWrap w:val="false"/>
          </w:tcPr>
          <w:p>
            <w:pPr>
              <w:jc w:val="center"/>
            </w:pPr>
            <w:r>
              <w:t xml:space="preserve">1</w:t>
            </w:r>
            <w:r/>
          </w:p>
        </w:tc>
      </w:tr>
    </w:tbl>
    <w:p>
      <w:pPr>
        <w:jc w:val="center"/>
        <w:spacing w:line="276" w:lineRule="auto"/>
      </w:pPr>
      <w:r/>
      <w:r/>
    </w:p>
    <w:p>
      <w:pPr>
        <w:jc w:val="center"/>
        <w:spacing w:line="276" w:lineRule="auto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W w:w="9838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394"/>
        <w:gridCol w:w="1472"/>
        <w:gridCol w:w="1545"/>
        <w:gridCol w:w="1401"/>
        <w:gridCol w:w="2173"/>
        <w:gridCol w:w="10"/>
      </w:tblGrid>
      <w:tr>
        <w:trPr/>
        <w:tc>
          <w:tcPr>
            <w:gridSpan w:val="8"/>
            <w:tcW w:w="9838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Количество обращений граждан, поступивших в Департа</w:t>
            </w:r>
            <w:r>
              <w:rPr>
                <w:sz w:val="20"/>
                <w:szCs w:val="20"/>
              </w:rPr>
              <w:t xml:space="preserve">мент государственной гражданской службы и кадровой политики ХМАО-Югры</w:t>
            </w:r>
            <w:r/>
          </w:p>
        </w:tc>
      </w:tr>
      <w:tr>
        <w:trPr>
          <w:gridAfter w:val="1"/>
          <w:trHeight w:val="1507"/>
        </w:trPr>
        <w:tc>
          <w:tcPr>
            <w:tcW w:w="993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/>
          </w:p>
        </w:tc>
        <w:tc>
          <w:tcPr>
            <w:tcW w:w="850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Общее количество обращений</w:t>
            </w:r>
            <w:r/>
          </w:p>
        </w:tc>
        <w:tc>
          <w:tcPr>
            <w:tcW w:w="1394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Обращения, поступившие непосредственно в Департамент</w:t>
            </w:r>
            <w:r/>
          </w:p>
        </w:tc>
        <w:tc>
          <w:tcPr>
            <w:tcW w:w="1472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Обращения, поступившие из Аппарата Губернатора ХМАО-Югры</w:t>
            </w:r>
            <w:r/>
          </w:p>
        </w:tc>
        <w:tc>
          <w:tcPr>
            <w:tcW w:w="1545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Количество обращений, где Департамент является основным исполнителем</w:t>
            </w:r>
            <w:r/>
          </w:p>
        </w:tc>
        <w:tc>
          <w:tcPr>
            <w:tcW w:w="1401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Количество обращений, перенаправленных по компетенции</w:t>
            </w:r>
            <w:r/>
          </w:p>
        </w:tc>
        <w:tc>
          <w:tcPr>
            <w:tcW w:w="2173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Количество вопросов, содержащихся в </w:t>
            </w:r>
            <w:r>
              <w:rPr>
                <w:sz w:val="20"/>
                <w:szCs w:val="20"/>
              </w:rPr>
              <w:t xml:space="preserve">обращениях,</w:t>
            </w:r>
            <w:r>
              <w:rPr>
                <w:sz w:val="20"/>
                <w:szCs w:val="20"/>
              </w:rPr>
              <w:t xml:space="preserve"> где Департамент является основным исполнителем</w:t>
            </w:r>
            <w:r/>
          </w:p>
        </w:tc>
      </w:tr>
      <w:tr>
        <w:trPr>
          <w:gridAfter w:val="1"/>
        </w:trPr>
        <w:tc>
          <w:tcPr>
            <w:tcW w:w="993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  <w:lang w:val="en-US"/>
              </w:rPr>
              <w:t xml:space="preserve">V</w:t>
            </w:r>
            <w:r>
              <w:rPr>
                <w:sz w:val="20"/>
                <w:szCs w:val="20"/>
              </w:rPr>
              <w:t xml:space="preserve"> кв.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93</w:t>
            </w:r>
            <w:r>
              <w:rPr>
                <w:sz w:val="20"/>
                <w:szCs w:val="20"/>
                <w:lang w:val="en-US"/>
              </w:rPr>
            </w:r>
            <w:r/>
          </w:p>
        </w:tc>
        <w:tc>
          <w:tcPr>
            <w:tcW w:w="1394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21</w:t>
            </w:r>
            <w:r>
              <w:rPr>
                <w:sz w:val="20"/>
                <w:szCs w:val="20"/>
                <w:lang w:val="en-US"/>
              </w:rPr>
            </w:r>
            <w:r/>
          </w:p>
        </w:tc>
        <w:tc>
          <w:tcPr>
            <w:tcW w:w="1472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59</w:t>
            </w:r>
            <w:r>
              <w:rPr>
                <w:sz w:val="20"/>
                <w:szCs w:val="20"/>
                <w:lang w:val="en-US"/>
              </w:rPr>
            </w:r>
            <w:r/>
          </w:p>
        </w:tc>
        <w:tc>
          <w:tcPr>
            <w:tcW w:w="1545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14</w:t>
            </w:r>
            <w:r>
              <w:rPr>
                <w:sz w:val="20"/>
                <w:szCs w:val="20"/>
                <w:lang w:val="en-US"/>
              </w:rPr>
            </w:r>
            <w:r/>
          </w:p>
        </w:tc>
        <w:tc>
          <w:tcPr>
            <w:tcW w:w="1401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</w:t>
            </w:r>
            <w:r>
              <w:rPr>
                <w:sz w:val="20"/>
                <w:szCs w:val="20"/>
                <w:lang w:val="en-US"/>
              </w:rPr>
            </w:r>
            <w:r/>
          </w:p>
        </w:tc>
        <w:tc>
          <w:tcPr>
            <w:tcW w:w="2173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22</w:t>
            </w:r>
            <w:r>
              <w:rPr>
                <w:sz w:val="20"/>
                <w:szCs w:val="20"/>
                <w:lang w:val="en-US"/>
              </w:rPr>
            </w:r>
            <w:r/>
          </w:p>
        </w:tc>
      </w:tr>
      <w:tr>
        <w:trPr>
          <w:gridAfter w:val="1"/>
        </w:trPr>
        <w:tc>
          <w:tcPr>
            <w:tcW w:w="993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</w:t>
            </w:r>
            <w:r>
              <w:rPr>
                <w:sz w:val="20"/>
                <w:szCs w:val="20"/>
              </w:rPr>
              <w:t xml:space="preserve"> кв.</w:t>
            </w:r>
            <w:r>
              <w:rPr>
                <w:sz w:val="20"/>
                <w:szCs w:val="20"/>
              </w:rPr>
            </w:r>
          </w:p>
          <w:p>
            <w:pPr>
              <w:pStyle w:val="814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2023</w:t>
            </w:r>
            <w:r>
              <w:rPr>
                <w:sz w:val="20"/>
                <w:szCs w:val="20"/>
              </w:rPr>
            </w:r>
          </w:p>
        </w:tc>
        <w:tc>
          <w:tcPr>
            <w:tcW w:w="850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44</w:t>
            </w:r>
            <w:r/>
          </w:p>
        </w:tc>
        <w:tc>
          <w:tcPr>
            <w:tcW w:w="1394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9</w:t>
            </w:r>
            <w:r/>
          </w:p>
        </w:tc>
        <w:tc>
          <w:tcPr>
            <w:tcW w:w="1472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23</w:t>
            </w:r>
            <w:r/>
          </w:p>
        </w:tc>
        <w:tc>
          <w:tcPr>
            <w:tcW w:w="1545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</w:t>
            </w:r>
            <w:r>
              <w:rPr>
                <w:sz w:val="20"/>
                <w:szCs w:val="20"/>
                <w:lang w:val="en-US"/>
              </w:rPr>
            </w:r>
            <w:r/>
          </w:p>
        </w:tc>
        <w:tc>
          <w:tcPr>
            <w:tcW w:w="1401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</w:t>
            </w:r>
            <w:r>
              <w:rPr>
                <w:sz w:val="20"/>
                <w:szCs w:val="20"/>
                <w:lang w:val="en-US"/>
              </w:rPr>
            </w:r>
            <w:r/>
          </w:p>
        </w:tc>
        <w:tc>
          <w:tcPr>
            <w:tcW w:w="2173" w:type="dxa"/>
            <w:vAlign w:val="top"/>
            <w:textDirection w:val="lrTb"/>
            <w:noWrap w:val="false"/>
          </w:tcPr>
          <w:p>
            <w:pPr>
              <w:pStyle w:val="814"/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16</w:t>
            </w:r>
            <w:r/>
          </w:p>
        </w:tc>
      </w:tr>
    </w:tbl>
    <w:p>
      <w:pPr>
        <w:pStyle w:val="814"/>
        <w:ind w:firstLine="708"/>
        <w:jc w:val="both"/>
        <w:spacing w:line="276" w:lineRule="auto"/>
        <w:tabs>
          <w:tab w:val="left" w:pos="-360" w:leader="none"/>
        </w:tabs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/>
    </w:p>
    <w:p>
      <w:pPr>
        <w:pStyle w:val="814"/>
        <w:ind w:firstLine="708"/>
        <w:jc w:val="both"/>
        <w:spacing w:line="276" w:lineRule="auto"/>
        <w:tabs>
          <w:tab w:val="left" w:pos="-3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рассмотрения </w:t>
      </w:r>
      <w:r>
        <w:rPr>
          <w:sz w:val="28"/>
          <w:szCs w:val="28"/>
        </w:rPr>
        <w:t xml:space="preserve">7 </w:t>
      </w:r>
      <w:r>
        <w:rPr>
          <w:sz w:val="28"/>
          <w:szCs w:val="28"/>
        </w:rPr>
        <w:t xml:space="preserve">обращений гражданам разъяснено – 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вопросов. По анонимному обращению проведен анализ изложенных фактов, ответ не направлялся.</w:t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В</w:t>
      </w:r>
      <w:r>
        <w:rPr>
          <w:rFonts w:eastAsia="Calibr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 xml:space="preserve">I</w:t>
      </w:r>
      <w:r>
        <w:rPr>
          <w:rFonts w:eastAsia="Calibri"/>
          <w:sz w:val="28"/>
          <w:szCs w:val="28"/>
          <w:lang w:eastAsia="en-US"/>
        </w:rPr>
        <w:t xml:space="preserve"> квартале 20</w:t>
      </w:r>
      <w:r>
        <w:rPr>
          <w:rFonts w:eastAsia="Calibri"/>
          <w:sz w:val="28"/>
          <w:szCs w:val="28"/>
          <w:lang w:eastAsia="en-US"/>
        </w:rPr>
        <w:t xml:space="preserve">2</w:t>
      </w:r>
      <w:r>
        <w:rPr>
          <w:rFonts w:eastAsia="Calibri"/>
          <w:sz w:val="28"/>
          <w:szCs w:val="28"/>
          <w:lang w:eastAsia="en-US"/>
        </w:rPr>
        <w:t xml:space="preserve">3 года </w:t>
      </w:r>
      <w:r>
        <w:rPr>
          <w:rFonts w:eastAsia="Calibri"/>
          <w:sz w:val="28"/>
          <w:szCs w:val="28"/>
          <w:lang w:eastAsia="en-US"/>
        </w:rPr>
        <w:t xml:space="preserve">не допущено нарушений сроков рассмотрения обращений,</w:t>
      </w:r>
      <w:r>
        <w:rPr>
          <w:rFonts w:eastAsia="Calibri"/>
          <w:sz w:val="28"/>
          <w:szCs w:val="28"/>
          <w:lang w:eastAsia="en-US"/>
        </w:rPr>
        <w:t xml:space="preserve"> заявителям даны подробные разъяснения на все поставленные вопросы.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Департаментом провод</w:t>
      </w:r>
      <w:r>
        <w:rPr>
          <w:sz w:val="28"/>
          <w:szCs w:val="28"/>
        </w:rPr>
        <w:t xml:space="preserve">я</w:t>
      </w:r>
      <w:r>
        <w:rPr>
          <w:sz w:val="28"/>
          <w:szCs w:val="28"/>
        </w:rPr>
        <w:t xml:space="preserve">тся </w:t>
      </w:r>
      <w:r>
        <w:rPr>
          <w:sz w:val="28"/>
          <w:szCs w:val="28"/>
        </w:rPr>
        <w:t xml:space="preserve">организационн</w:t>
      </w:r>
      <w:r>
        <w:rPr>
          <w:sz w:val="28"/>
          <w:szCs w:val="28"/>
        </w:rPr>
        <w:t xml:space="preserve">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меры</w:t>
      </w:r>
      <w:r>
        <w:rPr>
          <w:sz w:val="28"/>
          <w:szCs w:val="28"/>
        </w:rPr>
        <w:t xml:space="preserve">, направленн</w:t>
      </w:r>
      <w:r>
        <w:rPr>
          <w:sz w:val="28"/>
          <w:szCs w:val="28"/>
        </w:rPr>
        <w:t xml:space="preserve">ые</w:t>
      </w:r>
      <w:r>
        <w:rPr>
          <w:sz w:val="28"/>
          <w:szCs w:val="28"/>
        </w:rPr>
        <w:t xml:space="preserve"> на улучшение качества работы с обращениями граждан</w:t>
      </w:r>
      <w:r>
        <w:rPr>
          <w:sz w:val="28"/>
          <w:szCs w:val="28"/>
        </w:rPr>
        <w:t xml:space="preserve"> в целях устранения причин и условий, способствующих активности обращений граждан</w:t>
      </w:r>
      <w:r>
        <w:rPr>
          <w:sz w:val="28"/>
          <w:szCs w:val="28"/>
        </w:rPr>
        <w:t xml:space="preserve">, а именно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- своевременно размещается на сайте Департамента информация, содержащая порядок поступления на государственную и муниципальную службу и порядок её прохождения;</w:t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- на ежеквартальных совещаниях с представителями кадровых служб исполнительных органов государственной власти Ханты-Мансийского а</w:t>
      </w:r>
      <w:r>
        <w:rPr>
          <w:sz w:val="28"/>
          <w:szCs w:val="28"/>
        </w:rPr>
        <w:t xml:space="preserve">втономного округа – Югры уделяется особое внимание рассмотрению вопросов о своевременном информировании граждан, государственных и муниципальных служащих об изменениях действующего законодательства в сфере государственной гражданской и муниципальной службы</w:t>
      </w:r>
      <w:r>
        <w:rPr>
          <w:sz w:val="28"/>
          <w:szCs w:val="28"/>
        </w:rPr>
        <w:t xml:space="preserve">, противодействия коррупции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- на заседани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Общественного совета при Деп</w:t>
      </w:r>
      <w:r>
        <w:rPr>
          <w:sz w:val="28"/>
          <w:szCs w:val="28"/>
        </w:rPr>
        <w:t xml:space="preserve">артаменте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ежегодно рассма</w:t>
      </w:r>
      <w:r>
        <w:rPr>
          <w:sz w:val="28"/>
          <w:szCs w:val="28"/>
        </w:rPr>
        <w:t xml:space="preserve">тр</w:t>
      </w:r>
      <w:r>
        <w:rPr>
          <w:sz w:val="28"/>
          <w:szCs w:val="28"/>
        </w:rPr>
        <w:t xml:space="preserve">ивается</w:t>
      </w:r>
      <w:r>
        <w:rPr>
          <w:sz w:val="28"/>
          <w:szCs w:val="28"/>
        </w:rPr>
        <w:t xml:space="preserve"> вопрос «Анализ качества ответов на обращения граждан».</w:t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I</w:t>
      </w:r>
      <w:r>
        <w:rPr>
          <w:sz w:val="28"/>
          <w:szCs w:val="28"/>
        </w:rPr>
        <w:t xml:space="preserve"> квартале </w:t>
      </w:r>
      <w:r>
        <w:rPr>
          <w:sz w:val="28"/>
          <w:szCs w:val="28"/>
        </w:rPr>
        <w:t xml:space="preserve">20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3 год</w:t>
      </w: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 судебная практика привлечения к административной ответственности за нарушение порядка рассмотрения обращений отсутствует.</w:t>
      </w:r>
      <w:r>
        <w:rPr>
          <w:sz w:val="28"/>
          <w:szCs w:val="28"/>
        </w:rPr>
      </w:r>
    </w:p>
    <w:p>
      <w:pPr>
        <w:pStyle w:val="814"/>
        <w:ind w:firstLine="708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В установленных случаях продолжается практика предварительной процедуры согласования ответов с заявителями по телефону или через представителей администрации муниципальн</w:t>
      </w:r>
      <w:r>
        <w:rPr>
          <w:sz w:val="28"/>
          <w:szCs w:val="28"/>
        </w:rPr>
        <w:t xml:space="preserve">ых образований</w:t>
      </w:r>
      <w:r>
        <w:rPr>
          <w:sz w:val="28"/>
          <w:szCs w:val="28"/>
        </w:rPr>
        <w:t xml:space="preserve"> на предмет разрешения сложившейся ситуации в решении вопросов, которые могут способствовать устранению недостатков, препятствующих </w:t>
      </w:r>
      <w:r>
        <w:rPr>
          <w:sz w:val="28"/>
          <w:szCs w:val="28"/>
        </w:rPr>
        <w:t xml:space="preserve">гражданам в реализации их прав.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w="11906" w:h="16838" w:orient="portrait"/>
      <w:pgMar w:top="1276" w:right="991" w:bottom="993" w:left="1276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6">
    <w:name w:val="Heading 1"/>
    <w:basedOn w:val="814"/>
    <w:next w:val="814"/>
    <w:link w:val="63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37">
    <w:name w:val="Heading 1 Char"/>
    <w:link w:val="636"/>
    <w:uiPriority w:val="9"/>
    <w:rPr>
      <w:rFonts w:ascii="Arial" w:hAnsi="Arial" w:eastAsia="Arial" w:cs="Arial"/>
      <w:sz w:val="40"/>
      <w:szCs w:val="40"/>
    </w:rPr>
  </w:style>
  <w:style w:type="paragraph" w:styleId="638">
    <w:name w:val="Heading 2"/>
    <w:basedOn w:val="814"/>
    <w:next w:val="814"/>
    <w:link w:val="63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39">
    <w:name w:val="Heading 2 Char"/>
    <w:link w:val="638"/>
    <w:uiPriority w:val="9"/>
    <w:rPr>
      <w:rFonts w:ascii="Arial" w:hAnsi="Arial" w:eastAsia="Arial" w:cs="Arial"/>
      <w:sz w:val="34"/>
    </w:rPr>
  </w:style>
  <w:style w:type="paragraph" w:styleId="640">
    <w:name w:val="Heading 3"/>
    <w:basedOn w:val="814"/>
    <w:next w:val="814"/>
    <w:link w:val="64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41">
    <w:name w:val="Heading 3 Char"/>
    <w:link w:val="640"/>
    <w:uiPriority w:val="9"/>
    <w:rPr>
      <w:rFonts w:ascii="Arial" w:hAnsi="Arial" w:eastAsia="Arial" w:cs="Arial"/>
      <w:sz w:val="30"/>
      <w:szCs w:val="30"/>
    </w:rPr>
  </w:style>
  <w:style w:type="paragraph" w:styleId="642">
    <w:name w:val="Heading 4"/>
    <w:basedOn w:val="814"/>
    <w:next w:val="814"/>
    <w:link w:val="64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3">
    <w:name w:val="Heading 4 Char"/>
    <w:link w:val="642"/>
    <w:uiPriority w:val="9"/>
    <w:rPr>
      <w:rFonts w:ascii="Arial" w:hAnsi="Arial" w:eastAsia="Arial" w:cs="Arial"/>
      <w:b/>
      <w:bCs/>
      <w:sz w:val="26"/>
      <w:szCs w:val="26"/>
    </w:rPr>
  </w:style>
  <w:style w:type="paragraph" w:styleId="644">
    <w:name w:val="Heading 5"/>
    <w:basedOn w:val="814"/>
    <w:next w:val="814"/>
    <w:link w:val="64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45">
    <w:name w:val="Heading 5 Char"/>
    <w:link w:val="644"/>
    <w:uiPriority w:val="9"/>
    <w:rPr>
      <w:rFonts w:ascii="Arial" w:hAnsi="Arial" w:eastAsia="Arial" w:cs="Arial"/>
      <w:b/>
      <w:bCs/>
      <w:sz w:val="24"/>
      <w:szCs w:val="24"/>
    </w:rPr>
  </w:style>
  <w:style w:type="paragraph" w:styleId="646">
    <w:name w:val="Heading 6"/>
    <w:basedOn w:val="814"/>
    <w:next w:val="814"/>
    <w:link w:val="64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47">
    <w:name w:val="Heading 6 Char"/>
    <w:link w:val="646"/>
    <w:uiPriority w:val="9"/>
    <w:rPr>
      <w:rFonts w:ascii="Arial" w:hAnsi="Arial" w:eastAsia="Arial" w:cs="Arial"/>
      <w:b/>
      <w:bCs/>
      <w:sz w:val="22"/>
      <w:szCs w:val="22"/>
    </w:rPr>
  </w:style>
  <w:style w:type="paragraph" w:styleId="648">
    <w:name w:val="Heading 7"/>
    <w:basedOn w:val="814"/>
    <w:next w:val="814"/>
    <w:link w:val="64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49">
    <w:name w:val="Heading 7 Char"/>
    <w:link w:val="64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0">
    <w:name w:val="Heading 8"/>
    <w:basedOn w:val="814"/>
    <w:next w:val="814"/>
    <w:link w:val="65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1">
    <w:name w:val="Heading 8 Char"/>
    <w:link w:val="650"/>
    <w:uiPriority w:val="9"/>
    <w:rPr>
      <w:rFonts w:ascii="Arial" w:hAnsi="Arial" w:eastAsia="Arial" w:cs="Arial"/>
      <w:i/>
      <w:iCs/>
      <w:sz w:val="22"/>
      <w:szCs w:val="22"/>
    </w:rPr>
  </w:style>
  <w:style w:type="paragraph" w:styleId="652">
    <w:name w:val="Heading 9"/>
    <w:basedOn w:val="814"/>
    <w:next w:val="814"/>
    <w:link w:val="65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3">
    <w:name w:val="Heading 9 Char"/>
    <w:link w:val="652"/>
    <w:uiPriority w:val="9"/>
    <w:rPr>
      <w:rFonts w:ascii="Arial" w:hAnsi="Arial" w:eastAsia="Arial" w:cs="Arial"/>
      <w:i/>
      <w:iCs/>
      <w:sz w:val="21"/>
      <w:szCs w:val="21"/>
    </w:rPr>
  </w:style>
  <w:style w:type="paragraph" w:styleId="654">
    <w:name w:val="List Paragraph"/>
    <w:basedOn w:val="814"/>
    <w:uiPriority w:val="34"/>
    <w:qFormat/>
    <w:pPr>
      <w:contextualSpacing/>
      <w:ind w:left="720"/>
    </w:pPr>
  </w:style>
  <w:style w:type="paragraph" w:styleId="655">
    <w:name w:val="No Spacing"/>
    <w:uiPriority w:val="1"/>
    <w:qFormat/>
    <w:pPr>
      <w:spacing w:before="0" w:after="0" w:line="240" w:lineRule="auto"/>
    </w:pPr>
  </w:style>
  <w:style w:type="paragraph" w:styleId="656">
    <w:name w:val="Title"/>
    <w:basedOn w:val="814"/>
    <w:next w:val="814"/>
    <w:link w:val="6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7">
    <w:name w:val="Title Char"/>
    <w:link w:val="656"/>
    <w:uiPriority w:val="10"/>
    <w:rPr>
      <w:sz w:val="48"/>
      <w:szCs w:val="48"/>
    </w:rPr>
  </w:style>
  <w:style w:type="paragraph" w:styleId="658">
    <w:name w:val="Subtitle"/>
    <w:basedOn w:val="814"/>
    <w:next w:val="814"/>
    <w:link w:val="659"/>
    <w:uiPriority w:val="11"/>
    <w:qFormat/>
    <w:pPr>
      <w:spacing w:before="200" w:after="200"/>
    </w:pPr>
    <w:rPr>
      <w:sz w:val="24"/>
      <w:szCs w:val="24"/>
    </w:rPr>
  </w:style>
  <w:style w:type="character" w:styleId="659">
    <w:name w:val="Subtitle Char"/>
    <w:link w:val="658"/>
    <w:uiPriority w:val="11"/>
    <w:rPr>
      <w:sz w:val="24"/>
      <w:szCs w:val="24"/>
    </w:rPr>
  </w:style>
  <w:style w:type="paragraph" w:styleId="660">
    <w:name w:val="Quote"/>
    <w:basedOn w:val="814"/>
    <w:next w:val="814"/>
    <w:link w:val="661"/>
    <w:uiPriority w:val="29"/>
    <w:qFormat/>
    <w:pPr>
      <w:ind w:left="720" w:right="720"/>
    </w:pPr>
    <w:rPr>
      <w:i/>
    </w:rPr>
  </w:style>
  <w:style w:type="character" w:styleId="661">
    <w:name w:val="Quote Char"/>
    <w:link w:val="660"/>
    <w:uiPriority w:val="29"/>
    <w:rPr>
      <w:i/>
    </w:rPr>
  </w:style>
  <w:style w:type="paragraph" w:styleId="662">
    <w:name w:val="Intense Quote"/>
    <w:basedOn w:val="814"/>
    <w:next w:val="814"/>
    <w:link w:val="6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3">
    <w:name w:val="Intense Quote Char"/>
    <w:link w:val="662"/>
    <w:uiPriority w:val="30"/>
    <w:rPr>
      <w:i/>
    </w:rPr>
  </w:style>
  <w:style w:type="paragraph" w:styleId="664">
    <w:name w:val="Header"/>
    <w:basedOn w:val="814"/>
    <w:link w:val="6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5">
    <w:name w:val="Header Char"/>
    <w:link w:val="664"/>
    <w:uiPriority w:val="99"/>
  </w:style>
  <w:style w:type="paragraph" w:styleId="666">
    <w:name w:val="Footer"/>
    <w:basedOn w:val="814"/>
    <w:link w:val="6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7">
    <w:name w:val="Footer Char"/>
    <w:link w:val="666"/>
    <w:uiPriority w:val="99"/>
  </w:style>
  <w:style w:type="paragraph" w:styleId="668">
    <w:name w:val="Caption"/>
    <w:basedOn w:val="814"/>
    <w:next w:val="8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9">
    <w:name w:val="Caption Char"/>
    <w:basedOn w:val="668"/>
    <w:link w:val="666"/>
    <w:uiPriority w:val="99"/>
  </w:style>
  <w:style w:type="table" w:styleId="67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0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0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1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7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7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7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7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7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7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7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6">
    <w:name w:val="Hyperlink"/>
    <w:uiPriority w:val="99"/>
    <w:unhideWhenUsed/>
    <w:rPr>
      <w:color w:val="0000ff" w:themeColor="hyperlink"/>
      <w:u w:val="single"/>
    </w:rPr>
  </w:style>
  <w:style w:type="paragraph" w:styleId="797">
    <w:name w:val="footnote text"/>
    <w:basedOn w:val="814"/>
    <w:link w:val="798"/>
    <w:uiPriority w:val="99"/>
    <w:semiHidden/>
    <w:unhideWhenUsed/>
    <w:pPr>
      <w:spacing w:after="40" w:line="240" w:lineRule="auto"/>
    </w:pPr>
    <w:rPr>
      <w:sz w:val="18"/>
    </w:rPr>
  </w:style>
  <w:style w:type="character" w:styleId="798">
    <w:name w:val="Footnote Text Char"/>
    <w:link w:val="797"/>
    <w:uiPriority w:val="99"/>
    <w:rPr>
      <w:sz w:val="18"/>
    </w:rPr>
  </w:style>
  <w:style w:type="character" w:styleId="799">
    <w:name w:val="footnote reference"/>
    <w:uiPriority w:val="99"/>
    <w:unhideWhenUsed/>
    <w:rPr>
      <w:vertAlign w:val="superscript"/>
    </w:rPr>
  </w:style>
  <w:style w:type="paragraph" w:styleId="800">
    <w:name w:val="endnote text"/>
    <w:basedOn w:val="814"/>
    <w:link w:val="801"/>
    <w:uiPriority w:val="99"/>
    <w:semiHidden/>
    <w:unhideWhenUsed/>
    <w:pPr>
      <w:spacing w:after="0" w:line="240" w:lineRule="auto"/>
    </w:pPr>
    <w:rPr>
      <w:sz w:val="20"/>
    </w:rPr>
  </w:style>
  <w:style w:type="character" w:styleId="801">
    <w:name w:val="Endnote Text Char"/>
    <w:link w:val="800"/>
    <w:uiPriority w:val="99"/>
    <w:rPr>
      <w:sz w:val="20"/>
    </w:rPr>
  </w:style>
  <w:style w:type="character" w:styleId="802">
    <w:name w:val="endnote reference"/>
    <w:uiPriority w:val="99"/>
    <w:semiHidden/>
    <w:unhideWhenUsed/>
    <w:rPr>
      <w:vertAlign w:val="superscript"/>
    </w:rPr>
  </w:style>
  <w:style w:type="paragraph" w:styleId="803">
    <w:name w:val="toc 1"/>
    <w:basedOn w:val="814"/>
    <w:next w:val="814"/>
    <w:uiPriority w:val="39"/>
    <w:unhideWhenUsed/>
    <w:pPr>
      <w:ind w:left="0" w:right="0" w:firstLine="0"/>
      <w:spacing w:after="57"/>
    </w:pPr>
  </w:style>
  <w:style w:type="paragraph" w:styleId="804">
    <w:name w:val="toc 2"/>
    <w:basedOn w:val="814"/>
    <w:next w:val="814"/>
    <w:uiPriority w:val="39"/>
    <w:unhideWhenUsed/>
    <w:pPr>
      <w:ind w:left="283" w:right="0" w:firstLine="0"/>
      <w:spacing w:after="57"/>
    </w:pPr>
  </w:style>
  <w:style w:type="paragraph" w:styleId="805">
    <w:name w:val="toc 3"/>
    <w:basedOn w:val="814"/>
    <w:next w:val="814"/>
    <w:uiPriority w:val="39"/>
    <w:unhideWhenUsed/>
    <w:pPr>
      <w:ind w:left="567" w:right="0" w:firstLine="0"/>
      <w:spacing w:after="57"/>
    </w:pPr>
  </w:style>
  <w:style w:type="paragraph" w:styleId="806">
    <w:name w:val="toc 4"/>
    <w:basedOn w:val="814"/>
    <w:next w:val="814"/>
    <w:uiPriority w:val="39"/>
    <w:unhideWhenUsed/>
    <w:pPr>
      <w:ind w:left="850" w:right="0" w:firstLine="0"/>
      <w:spacing w:after="57"/>
    </w:pPr>
  </w:style>
  <w:style w:type="paragraph" w:styleId="807">
    <w:name w:val="toc 5"/>
    <w:basedOn w:val="814"/>
    <w:next w:val="814"/>
    <w:uiPriority w:val="39"/>
    <w:unhideWhenUsed/>
    <w:pPr>
      <w:ind w:left="1134" w:right="0" w:firstLine="0"/>
      <w:spacing w:after="57"/>
    </w:pPr>
  </w:style>
  <w:style w:type="paragraph" w:styleId="808">
    <w:name w:val="toc 6"/>
    <w:basedOn w:val="814"/>
    <w:next w:val="814"/>
    <w:uiPriority w:val="39"/>
    <w:unhideWhenUsed/>
    <w:pPr>
      <w:ind w:left="1417" w:right="0" w:firstLine="0"/>
      <w:spacing w:after="57"/>
    </w:pPr>
  </w:style>
  <w:style w:type="paragraph" w:styleId="809">
    <w:name w:val="toc 7"/>
    <w:basedOn w:val="814"/>
    <w:next w:val="814"/>
    <w:uiPriority w:val="39"/>
    <w:unhideWhenUsed/>
    <w:pPr>
      <w:ind w:left="1701" w:right="0" w:firstLine="0"/>
      <w:spacing w:after="57"/>
    </w:pPr>
  </w:style>
  <w:style w:type="paragraph" w:styleId="810">
    <w:name w:val="toc 8"/>
    <w:basedOn w:val="814"/>
    <w:next w:val="814"/>
    <w:uiPriority w:val="39"/>
    <w:unhideWhenUsed/>
    <w:pPr>
      <w:ind w:left="1984" w:right="0" w:firstLine="0"/>
      <w:spacing w:after="57"/>
    </w:pPr>
  </w:style>
  <w:style w:type="paragraph" w:styleId="811">
    <w:name w:val="toc 9"/>
    <w:basedOn w:val="814"/>
    <w:next w:val="814"/>
    <w:uiPriority w:val="39"/>
    <w:unhideWhenUsed/>
    <w:pPr>
      <w:ind w:left="2268" w:right="0" w:firstLine="0"/>
      <w:spacing w:after="57"/>
    </w:pPr>
  </w:style>
  <w:style w:type="paragraph" w:styleId="812">
    <w:name w:val="TOC Heading"/>
    <w:uiPriority w:val="39"/>
    <w:unhideWhenUsed/>
  </w:style>
  <w:style w:type="paragraph" w:styleId="813">
    <w:name w:val="table of figures"/>
    <w:basedOn w:val="814"/>
    <w:next w:val="814"/>
    <w:uiPriority w:val="99"/>
    <w:unhideWhenUsed/>
    <w:pPr>
      <w:spacing w:after="0" w:afterAutospacing="0"/>
    </w:pPr>
  </w:style>
  <w:style w:type="paragraph" w:styleId="814" w:default="1">
    <w:name w:val="Normal"/>
    <w:next w:val="814"/>
    <w:link w:val="814"/>
    <w:qFormat/>
    <w:rPr>
      <w:sz w:val="24"/>
      <w:szCs w:val="24"/>
      <w:lang w:val="ru-RU" w:eastAsia="ru-RU" w:bidi="ar-SA"/>
    </w:rPr>
  </w:style>
  <w:style w:type="character" w:styleId="815">
    <w:name w:val="Основной шрифт абзаца"/>
    <w:next w:val="815"/>
    <w:link w:val="814"/>
    <w:semiHidden/>
  </w:style>
  <w:style w:type="table" w:styleId="816">
    <w:name w:val="Обычная таблица"/>
    <w:next w:val="816"/>
    <w:link w:val="814"/>
    <w:semiHidden/>
    <w:tblPr/>
  </w:style>
  <w:style w:type="numbering" w:styleId="817">
    <w:name w:val="Нет списка"/>
    <w:next w:val="817"/>
    <w:link w:val="814"/>
    <w:semiHidden/>
  </w:style>
  <w:style w:type="paragraph" w:styleId="818">
    <w:name w:val="Знак Знак2 Знак"/>
    <w:basedOn w:val="814"/>
    <w:next w:val="818"/>
    <w:link w:val="814"/>
    <w:pPr>
      <w:ind w:left="1287" w:hanging="360"/>
      <w:jc w:val="both"/>
      <w:spacing w:after="160" w:line="240" w:lineRule="exact"/>
      <w:tabs>
        <w:tab w:val="num" w:pos="1287" w:leader="none"/>
      </w:tabs>
    </w:pPr>
    <w:rPr>
      <w:rFonts w:ascii="Verdana" w:hAnsi="Verdana" w:cs="Verdana"/>
      <w:sz w:val="20"/>
      <w:szCs w:val="20"/>
      <w:lang w:val="en-US" w:eastAsia="en-US"/>
    </w:rPr>
  </w:style>
  <w:style w:type="paragraph" w:styleId="819">
    <w:name w:val=" Знак Знак"/>
    <w:basedOn w:val="814"/>
    <w:next w:val="819"/>
    <w:link w:val="814"/>
    <w:pPr>
      <w:jc w:val="both"/>
      <w:spacing w:before="100" w:beforeAutospacing="1" w:after="100" w:afterAutospacing="1" w:line="360" w:lineRule="atLeast"/>
      <w:widowControl w:val="off"/>
    </w:pPr>
    <w:rPr>
      <w:rFonts w:ascii="Tahoma" w:hAnsi="Tahoma"/>
      <w:lang w:val="en-US" w:eastAsia="en-US"/>
    </w:rPr>
  </w:style>
  <w:style w:type="paragraph" w:styleId="820">
    <w:name w:val="Текст выноски"/>
    <w:basedOn w:val="814"/>
    <w:next w:val="820"/>
    <w:link w:val="814"/>
    <w:semiHidden/>
    <w:rPr>
      <w:rFonts w:ascii="Tahoma" w:hAnsi="Tahoma" w:cs="Tahoma"/>
      <w:sz w:val="16"/>
      <w:szCs w:val="16"/>
    </w:rPr>
  </w:style>
  <w:style w:type="paragraph" w:styleId="821">
    <w:name w:val="Без интервала"/>
    <w:next w:val="821"/>
    <w:link w:val="814"/>
    <w:uiPriority w:val="1"/>
    <w:qFormat/>
    <w:rPr>
      <w:sz w:val="24"/>
      <w:szCs w:val="24"/>
      <w:lang w:val="ru-RU" w:eastAsia="ru-RU" w:bidi="ar-SA"/>
    </w:rPr>
  </w:style>
  <w:style w:type="character" w:styleId="822">
    <w:name w:val="Гиперссылка"/>
    <w:next w:val="822"/>
    <w:link w:val="814"/>
    <w:uiPriority w:val="99"/>
    <w:rPr>
      <w:color w:val="0000ff"/>
      <w:u w:val="single"/>
    </w:rPr>
  </w:style>
  <w:style w:type="paragraph" w:styleId="823">
    <w:name w:val="Название"/>
    <w:basedOn w:val="814"/>
    <w:next w:val="823"/>
    <w:link w:val="824"/>
    <w:qFormat/>
    <w:pPr>
      <w:jc w:val="center"/>
    </w:pPr>
    <w:rPr>
      <w:b/>
      <w:i/>
      <w:szCs w:val="20"/>
    </w:rPr>
  </w:style>
  <w:style w:type="character" w:styleId="824">
    <w:name w:val="Название Знак"/>
    <w:next w:val="824"/>
    <w:link w:val="823"/>
    <w:rPr>
      <w:b/>
      <w:i/>
      <w:sz w:val="24"/>
    </w:rPr>
  </w:style>
  <w:style w:type="paragraph" w:styleId="825">
    <w:name w:val="Основной текст2"/>
    <w:basedOn w:val="814"/>
    <w:next w:val="825"/>
    <w:link w:val="814"/>
    <w:pPr>
      <w:jc w:val="right"/>
      <w:spacing w:line="0" w:lineRule="atLeast"/>
      <w:shd w:val="clear" w:color="auto" w:fill="ffffff"/>
    </w:pPr>
    <w:rPr>
      <w:sz w:val="26"/>
      <w:szCs w:val="26"/>
      <w:lang w:eastAsia="en-US"/>
    </w:rPr>
  </w:style>
  <w:style w:type="table" w:styleId="826">
    <w:name w:val="Сетка таблицы"/>
    <w:basedOn w:val="816"/>
    <w:next w:val="826"/>
    <w:link w:val="814"/>
    <w:tblPr/>
  </w:style>
  <w:style w:type="character" w:styleId="827">
    <w:name w:val="Неразрешенное упоминание"/>
    <w:next w:val="827"/>
    <w:link w:val="814"/>
    <w:uiPriority w:val="99"/>
    <w:semiHidden/>
    <w:unhideWhenUsed/>
    <w:rPr>
      <w:color w:val="605e5c"/>
      <w:shd w:val="clear" w:color="auto" w:fill="e1dfdd"/>
    </w:rPr>
  </w:style>
  <w:style w:type="character" w:styleId="828">
    <w:name w:val="Просмотренная гиперссылка"/>
    <w:next w:val="828"/>
    <w:link w:val="814"/>
    <w:rPr>
      <w:color w:val="954f72"/>
      <w:u w:val="single"/>
    </w:rPr>
  </w:style>
  <w:style w:type="character" w:styleId="829" w:default="1">
    <w:name w:val="Default Paragraph Font"/>
    <w:uiPriority w:val="1"/>
    <w:semiHidden/>
    <w:unhideWhenUsed/>
  </w:style>
  <w:style w:type="numbering" w:styleId="830" w:default="1">
    <w:name w:val="No List"/>
    <w:uiPriority w:val="99"/>
    <w:semiHidden/>
    <w:unhideWhenUsed/>
  </w:style>
  <w:style w:type="table" w:styleId="83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Р7-Офис/7.3.0.0</Application>
  <Company>*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</dc:title>
  <dc:creator>Ермолаева Ирина Валерьевна</dc:creator>
  <cp:revision>10</cp:revision>
  <dcterms:created xsi:type="dcterms:W3CDTF">2023-01-16T12:42:00Z</dcterms:created>
  <dcterms:modified xsi:type="dcterms:W3CDTF">2023-04-13T11:14:28Z</dcterms:modified>
  <cp:version>983040</cp:version>
</cp:coreProperties>
</file>