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824" w:rsidRPr="005F38AD" w:rsidRDefault="00FF4824" w:rsidP="00FF4824">
      <w:pPr>
        <w:jc w:val="center"/>
        <w:rPr>
          <w:rFonts w:ascii="Palatino Linotype" w:hAnsi="Palatino Linotype" w:cs="Lucida Grande"/>
          <w:sz w:val="24"/>
          <w:lang w:val="en-US"/>
        </w:rPr>
      </w:pPr>
      <w:r w:rsidRPr="005F38AD">
        <w:rPr>
          <w:rFonts w:ascii="Palatino Linotype" w:hAnsi="Palatino Linotype" w:cs="Lucida Grande"/>
          <w:b/>
          <w:sz w:val="24"/>
          <w:lang w:val="en-US"/>
        </w:rPr>
        <w:t>Linear A decipherment attempts</w:t>
      </w:r>
      <w:r>
        <w:rPr>
          <w:rFonts w:ascii="Palatino Linotype" w:hAnsi="Palatino Linotype" w:cs="Lucida Grande"/>
          <w:b/>
          <w:sz w:val="24"/>
          <w:lang w:val="en-US"/>
        </w:rPr>
        <w:t xml:space="preserve"> 2.</w:t>
      </w:r>
      <w:r>
        <w:rPr>
          <w:rFonts w:ascii="Palatino Linotype" w:hAnsi="Palatino Linotype" w:cs="Lucida Grande"/>
          <w:sz w:val="24"/>
          <w:lang w:val="en-US"/>
        </w:rPr>
        <w:t xml:space="preserve"> </w:t>
      </w:r>
      <w:r w:rsidRPr="005F38AD">
        <w:rPr>
          <w:rFonts w:ascii="Palatino Linotype" w:hAnsi="Palatino Linotype" w:cs="Lucida Grande"/>
          <w:sz w:val="24"/>
          <w:lang w:val="en-US"/>
        </w:rPr>
        <w:t xml:space="preserve">HITTITE-LUWIAN   </w:t>
      </w:r>
    </w:p>
    <w:p w:rsidR="00FF4824" w:rsidRDefault="00FF4824" w:rsidP="00FF4824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Pro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>The idea of the Hittite-Luwian (esp. Luwian) interpretation of Linear A is linked with L. R. Palmer.</w:t>
      </w:r>
      <w:r>
        <w:rPr>
          <w:rStyle w:val="a9"/>
          <w:rFonts w:ascii="Palatino Linotype" w:hAnsi="Palatino Linotype"/>
          <w:sz w:val="24"/>
          <w:lang w:val="en-US"/>
        </w:rPr>
        <w:footnoteReference w:id="1"/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From 1960s, </w:t>
      </w:r>
      <w:r>
        <w:rPr>
          <w:rFonts w:ascii="Palatino Linotype" w:hAnsi="Palatino Linotype" w:cs="Arial"/>
          <w:color w:val="000000"/>
          <w:sz w:val="24"/>
          <w:lang w:val="en-US"/>
        </w:rPr>
        <w:t>V. Georgiev read Linear A in two languages, Greek (at Haghia Triada) and Hittite-Luwian (at other sites)</w:t>
      </w:r>
      <w:r>
        <w:rPr>
          <w:rStyle w:val="a9"/>
          <w:rFonts w:ascii="Palatino Linotype" w:hAnsi="Palatino Linotype" w:cs="Arial"/>
          <w:color w:val="000000"/>
          <w:sz w:val="24"/>
          <w:lang w:val="en-US"/>
        </w:rPr>
        <w:footnoteReference w:id="2"/>
      </w:r>
      <w:r>
        <w:rPr>
          <w:rFonts w:ascii="Palatino Linotype" w:hAnsi="Palatino Linotype" w:cs="Arial"/>
          <w:color w:val="000000"/>
          <w:sz w:val="24"/>
          <w:lang w:val="en-US"/>
        </w:rPr>
        <w:t>, but the idea was not accepted: ‘</w:t>
      </w:r>
      <w:r>
        <w:rPr>
          <w:rFonts w:ascii="Palatino Linotype" w:hAnsi="Palatino Linotype"/>
          <w:bCs/>
          <w:sz w:val="24"/>
          <w:lang w:val="en-US"/>
        </w:rPr>
        <w:t xml:space="preserve">Two components of the </w:t>
      </w:r>
      <w:r w:rsidRPr="00825456">
        <w:rPr>
          <w:rFonts w:ascii="Palatino Linotype" w:hAnsi="Palatino Linotype"/>
          <w:bCs/>
          <w:sz w:val="24"/>
          <w:lang w:val="en-US"/>
        </w:rPr>
        <w:t>population are taken to be the source of the Lin</w:t>
      </w:r>
      <w:r>
        <w:rPr>
          <w:rFonts w:ascii="Palatino Linotype" w:hAnsi="Palatino Linotype"/>
          <w:bCs/>
          <w:sz w:val="24"/>
          <w:lang w:val="en-US"/>
        </w:rPr>
        <w:t xml:space="preserve">ear A texts: the Eteocretans in </w:t>
      </w:r>
      <w:r w:rsidRPr="00825456">
        <w:rPr>
          <w:rFonts w:ascii="Palatino Linotype" w:hAnsi="Palatino Linotype"/>
          <w:bCs/>
          <w:sz w:val="24"/>
          <w:lang w:val="en-US"/>
        </w:rPr>
        <w:t>the eastern and central parts of the island, with a</w:t>
      </w:r>
      <w:r>
        <w:rPr>
          <w:rFonts w:ascii="Palatino Linotype" w:hAnsi="Palatino Linotype"/>
          <w:bCs/>
          <w:sz w:val="24"/>
          <w:lang w:val="en-US"/>
        </w:rPr>
        <w:t xml:space="preserve"> language of the Hittite-Luwian </w:t>
      </w:r>
      <w:r w:rsidRPr="00825456">
        <w:rPr>
          <w:rFonts w:ascii="Palatino Linotype" w:hAnsi="Palatino Linotype"/>
          <w:bCs/>
          <w:sz w:val="24"/>
          <w:lang w:val="en-US"/>
        </w:rPr>
        <w:t xml:space="preserve">group, and the Cydonians at Hagia Triada, </w:t>
      </w:r>
      <w:r>
        <w:rPr>
          <w:rFonts w:ascii="Palatino Linotype" w:hAnsi="Palatino Linotype"/>
          <w:bCs/>
          <w:sz w:val="24"/>
          <w:lang w:val="en-US"/>
        </w:rPr>
        <w:t xml:space="preserve">with an extremely archaic Greek </w:t>
      </w:r>
      <w:r w:rsidRPr="00825456">
        <w:rPr>
          <w:rFonts w:ascii="Palatino Linotype" w:hAnsi="Palatino Linotype"/>
          <w:bCs/>
          <w:sz w:val="24"/>
          <w:lang w:val="en-US"/>
        </w:rPr>
        <w:t>dialect.</w:t>
      </w:r>
      <w:r>
        <w:rPr>
          <w:rFonts w:ascii="Palatino Linotype" w:hAnsi="Palatino Linotype"/>
          <w:bCs/>
          <w:sz w:val="24"/>
          <w:lang w:val="en-US"/>
        </w:rPr>
        <w:t xml:space="preserve"> &lt;…&gt; </w:t>
      </w:r>
      <w:r w:rsidRPr="00825456">
        <w:rPr>
          <w:rFonts w:ascii="Palatino Linotype" w:hAnsi="Palatino Linotype"/>
          <w:bCs/>
          <w:sz w:val="24"/>
          <w:lang w:val="en-US"/>
        </w:rPr>
        <w:t>his interpretations of the texts cannot be</w:t>
      </w:r>
      <w:r>
        <w:rPr>
          <w:rFonts w:ascii="Palatino Linotype" w:hAnsi="Palatino Linotype"/>
          <w:bCs/>
          <w:sz w:val="24"/>
          <w:lang w:val="en-US"/>
        </w:rPr>
        <w:t xml:space="preserve"> </w:t>
      </w:r>
      <w:r w:rsidRPr="00825456">
        <w:rPr>
          <w:rFonts w:ascii="Palatino Linotype" w:hAnsi="Palatino Linotype"/>
          <w:bCs/>
          <w:sz w:val="24"/>
          <w:lang w:val="en-US"/>
        </w:rPr>
        <w:t>regarded as sure, since all the texts are fairly short, the content is made to consist</w:t>
      </w:r>
      <w:r>
        <w:rPr>
          <w:rFonts w:ascii="Palatino Linotype" w:hAnsi="Palatino Linotype"/>
          <w:bCs/>
          <w:sz w:val="24"/>
          <w:lang w:val="en-US"/>
        </w:rPr>
        <w:t xml:space="preserve"> </w:t>
      </w:r>
      <w:r w:rsidRPr="00825456">
        <w:rPr>
          <w:rFonts w:ascii="Palatino Linotype" w:hAnsi="Palatino Linotype"/>
          <w:bCs/>
          <w:sz w:val="24"/>
          <w:lang w:val="en-US"/>
        </w:rPr>
        <w:t>largely of proper names, and there are certain matters of detail which fail to</w:t>
      </w:r>
      <w:r>
        <w:rPr>
          <w:rFonts w:ascii="Palatino Linotype" w:hAnsi="Palatino Linotype"/>
          <w:bCs/>
          <w:sz w:val="24"/>
          <w:lang w:val="en-US"/>
        </w:rPr>
        <w:t xml:space="preserve"> </w:t>
      </w:r>
      <w:r w:rsidRPr="00825456">
        <w:rPr>
          <w:rFonts w:ascii="Palatino Linotype" w:hAnsi="Palatino Linotype"/>
          <w:bCs/>
          <w:sz w:val="24"/>
          <w:lang w:val="en-US"/>
        </w:rPr>
        <w:t>carry conviction</w:t>
      </w:r>
      <w:r>
        <w:rPr>
          <w:rFonts w:ascii="Palatino Linotype" w:hAnsi="Palatino Linotype" w:cs="Arial"/>
          <w:color w:val="000000"/>
          <w:sz w:val="24"/>
          <w:lang w:val="en-US"/>
        </w:rPr>
        <w:t>’</w:t>
      </w:r>
      <w:r>
        <w:rPr>
          <w:rStyle w:val="a9"/>
          <w:rFonts w:ascii="Palatino Linotype" w:hAnsi="Palatino Linotype" w:cs="Arial"/>
          <w:color w:val="000000"/>
          <w:sz w:val="24"/>
          <w:lang w:val="en-US"/>
        </w:rPr>
        <w:footnoteReference w:id="3"/>
      </w:r>
      <w:r>
        <w:rPr>
          <w:rFonts w:ascii="Palatino Linotype" w:hAnsi="Palatino Linotype" w:cs="Arial"/>
          <w:color w:val="000000"/>
          <w:sz w:val="24"/>
          <w:lang w:val="en-US"/>
        </w:rPr>
        <w:t>.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>Anatolian hypothesis corresponds with 1) archaeological links between the island of Crete and Asia Minor, 2) historical evidence of Cretan-Lycian and Cretan-Carian relations</w:t>
      </w:r>
      <w:r>
        <w:rPr>
          <w:rStyle w:val="a9"/>
          <w:rFonts w:ascii="Palatino Linotype" w:hAnsi="Palatino Linotype"/>
          <w:sz w:val="24"/>
          <w:lang w:val="en-US"/>
        </w:rPr>
        <w:footnoteReference w:id="4"/>
      </w:r>
      <w:r>
        <w:rPr>
          <w:rFonts w:ascii="Palatino Linotype" w:hAnsi="Palatino Linotype"/>
          <w:sz w:val="24"/>
          <w:lang w:val="en-US"/>
        </w:rPr>
        <w:t xml:space="preserve">, 3) clear similarity between some (but a few) Cretan and Luwian (Anatolian) hieroglyphs (e. g., ‘bull head’ sounds </w:t>
      </w:r>
      <w:r>
        <w:rPr>
          <w:rFonts w:ascii="Palatino Linotype" w:hAnsi="Palatino Linotype"/>
          <w:i/>
          <w:sz w:val="24"/>
          <w:lang w:val="en-US"/>
        </w:rPr>
        <w:t xml:space="preserve">mu </w:t>
      </w:r>
      <w:r>
        <w:rPr>
          <w:rFonts w:ascii="Palatino Linotype" w:hAnsi="Palatino Linotype"/>
          <w:sz w:val="24"/>
          <w:lang w:val="en-US"/>
        </w:rPr>
        <w:t xml:space="preserve">in both scripts; hieroglyph for ‘life’ is of common Egyptian origin in both writing systems). An additional support of the hypothesis is that </w:t>
      </w:r>
      <w:r w:rsidRPr="00802A48">
        <w:rPr>
          <w:rFonts w:ascii="Palatino Linotype" w:hAnsi="Palatino Linotype"/>
          <w:sz w:val="24"/>
          <w:lang w:val="en-US"/>
        </w:rPr>
        <w:t xml:space="preserve">‘the Cydonian </w:t>
      </w:r>
      <w:r>
        <w:rPr>
          <w:rFonts w:ascii="Palatino Linotype" w:hAnsi="Palatino Linotype"/>
          <w:sz w:val="24"/>
          <w:lang w:val="en-US"/>
        </w:rPr>
        <w:t xml:space="preserve">language </w:t>
      </w:r>
      <w:r w:rsidRPr="00802A48">
        <w:rPr>
          <w:rFonts w:ascii="Palatino Linotype" w:hAnsi="Palatino Linotype"/>
          <w:sz w:val="24"/>
          <w:lang w:val="en-US"/>
        </w:rPr>
        <w:t>as an independent Indo-European language was closely related to the Anatolian Indo-European group</w:t>
      </w:r>
      <w:r>
        <w:rPr>
          <w:rFonts w:ascii="Palatino Linotype" w:hAnsi="Palatino Linotype"/>
          <w:sz w:val="24"/>
          <w:lang w:val="en-US"/>
        </w:rPr>
        <w:t xml:space="preserve">’ (e. g., Polyrrhenian/Cydonian gloss </w:t>
      </w:r>
      <w:r>
        <w:rPr>
          <w:rFonts w:ascii="Palatino Linotype" w:hAnsi="Palatino Linotype"/>
          <w:i/>
          <w:sz w:val="24"/>
          <w:lang w:val="en-US"/>
        </w:rPr>
        <w:t xml:space="preserve">σύας </w:t>
      </w:r>
      <w:r>
        <w:rPr>
          <w:rFonts w:ascii="Palatino Linotype" w:hAnsi="Palatino Linotype"/>
          <w:sz w:val="24"/>
          <w:lang w:val="en-US"/>
        </w:rPr>
        <w:t xml:space="preserve">‘dog’ : Hier. Luw. </w:t>
      </w:r>
      <w:r>
        <w:rPr>
          <w:rFonts w:ascii="Palatino Linotype" w:hAnsi="Palatino Linotype"/>
          <w:i/>
          <w:sz w:val="24"/>
          <w:lang w:val="en-US"/>
        </w:rPr>
        <w:t xml:space="preserve">suwani- </w:t>
      </w:r>
      <w:r>
        <w:rPr>
          <w:rFonts w:ascii="Palatino Linotype" w:hAnsi="Palatino Linotype"/>
          <w:sz w:val="24"/>
          <w:lang w:val="en-US"/>
        </w:rPr>
        <w:t>‘dog’)</w:t>
      </w:r>
      <w:r>
        <w:rPr>
          <w:rStyle w:val="a9"/>
          <w:rFonts w:ascii="Palatino Linotype" w:hAnsi="Palatino Linotype"/>
          <w:sz w:val="24"/>
          <w:lang w:val="en-US"/>
        </w:rPr>
        <w:footnoteReference w:id="5"/>
      </w:r>
      <w:r>
        <w:rPr>
          <w:rFonts w:ascii="Palatino Linotype" w:hAnsi="Palatino Linotype"/>
          <w:sz w:val="24"/>
          <w:lang w:val="en-US"/>
        </w:rPr>
        <w:t xml:space="preserve">.   </w:t>
      </w:r>
    </w:p>
    <w:p w:rsidR="00FF4824" w:rsidRPr="006E3D95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Supporters of this </w:t>
      </w:r>
      <w:r w:rsidRPr="009D77B7">
        <w:rPr>
          <w:rFonts w:ascii="Palatino Linotype" w:hAnsi="Palatino Linotype"/>
          <w:sz w:val="24"/>
          <w:lang w:val="en-US"/>
        </w:rPr>
        <w:t>hypothesis</w:t>
      </w:r>
      <w:r>
        <w:rPr>
          <w:rFonts w:ascii="Palatino Linotype" w:hAnsi="Palatino Linotype"/>
          <w:sz w:val="24"/>
          <w:lang w:val="en-US"/>
        </w:rPr>
        <w:t xml:space="preserve"> proposed several (but a few) word parallels but without coherent syntactical constructions (see below examples and references). E. g., I can add Lin. A </w:t>
      </w:r>
      <w:r>
        <w:rPr>
          <w:rFonts w:ascii="Palatino Linotype" w:hAnsi="Palatino Linotype"/>
          <w:i/>
          <w:sz w:val="24"/>
          <w:lang w:val="en-US"/>
        </w:rPr>
        <w:t xml:space="preserve">i-da-mi </w:t>
      </w:r>
      <w:r>
        <w:rPr>
          <w:rFonts w:ascii="Palatino Linotype" w:hAnsi="Palatino Linotype"/>
          <w:sz w:val="24"/>
          <w:lang w:val="en-US"/>
        </w:rPr>
        <w:t xml:space="preserve">with ‘Hittite’ </w:t>
      </w:r>
      <w:r>
        <w:rPr>
          <w:rFonts w:ascii="Palatino Linotype" w:hAnsi="Palatino Linotype"/>
          <w:i/>
          <w:sz w:val="24"/>
          <w:lang w:val="en-US"/>
        </w:rPr>
        <w:t xml:space="preserve">mis </w:t>
      </w:r>
      <w:r>
        <w:rPr>
          <w:rFonts w:ascii="Palatino Linotype" w:hAnsi="Palatino Linotype"/>
          <w:sz w:val="24"/>
          <w:lang w:val="en-US"/>
        </w:rPr>
        <w:t xml:space="preserve">‘my’ – but the complete decipherment needs complete grammar of the deciphered language.   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i/>
          <w:sz w:val="24"/>
          <w:lang w:val="en-US"/>
        </w:rPr>
      </w:pPr>
    </w:p>
    <w:p w:rsidR="00FF4824" w:rsidRPr="00AB2A8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Contra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 w:rsidRPr="007E6F48">
        <w:rPr>
          <w:rFonts w:ascii="Palatino Linotype" w:hAnsi="Palatino Linotype"/>
          <w:sz w:val="24"/>
          <w:lang w:val="en-US"/>
        </w:rPr>
        <w:t xml:space="preserve">If Linear A </w:t>
      </w:r>
      <w:r w:rsidRPr="007E6F48">
        <w:rPr>
          <w:rFonts w:ascii="Palatino Linotype" w:hAnsi="Palatino Linotype"/>
          <w:i/>
          <w:sz w:val="24"/>
          <w:lang w:val="en-US"/>
        </w:rPr>
        <w:t xml:space="preserve">ku-ni-su </w:t>
      </w:r>
      <w:r w:rsidRPr="007E6F48">
        <w:rPr>
          <w:rFonts w:ascii="Palatino Linotype" w:hAnsi="Palatino Linotype"/>
          <w:sz w:val="24"/>
          <w:lang w:val="en-US"/>
        </w:rPr>
        <w:t xml:space="preserve">lead C. Gordon to postulate the Akkadian language on the island, then Linear A </w:t>
      </w:r>
      <w:r w:rsidRPr="007E6F48">
        <w:rPr>
          <w:rFonts w:ascii="Palatino Linotype" w:hAnsi="Palatino Linotype"/>
          <w:i/>
          <w:sz w:val="24"/>
          <w:lang w:val="en-US"/>
        </w:rPr>
        <w:t>a-sa-sa-ra-me</w:t>
      </w:r>
      <w:r w:rsidRPr="007E6F48">
        <w:rPr>
          <w:rFonts w:ascii="Palatino Linotype" w:hAnsi="Palatino Linotype"/>
          <w:sz w:val="24"/>
          <w:lang w:val="en-US"/>
        </w:rPr>
        <w:t xml:space="preserve">, interpreted in </w:t>
      </w:r>
      <w:r w:rsidRPr="0075645A">
        <w:rPr>
          <w:rFonts w:ascii="Palatino Linotype" w:hAnsi="Palatino Linotype"/>
          <w:sz w:val="24"/>
          <w:lang w:val="en-US"/>
        </w:rPr>
        <w:t>comparison</w:t>
      </w:r>
      <w:r w:rsidRPr="007E6F48">
        <w:rPr>
          <w:rFonts w:ascii="Palatino Linotype" w:hAnsi="Palatino Linotype"/>
          <w:sz w:val="24"/>
          <w:lang w:val="en-US"/>
        </w:rPr>
        <w:t xml:space="preserve"> with Hieroglyphic Luwian </w:t>
      </w:r>
      <w:r w:rsidRPr="007E6F48">
        <w:rPr>
          <w:rFonts w:ascii="Palatino Linotype" w:hAnsi="Palatino Linotype"/>
          <w:i/>
          <w:sz w:val="24"/>
          <w:lang w:val="en-US"/>
        </w:rPr>
        <w:t xml:space="preserve">hasusaras </w:t>
      </w:r>
      <w:r w:rsidRPr="007E6F48">
        <w:rPr>
          <w:rFonts w:ascii="Palatino Linotype" w:hAnsi="Palatino Linotype"/>
          <w:sz w:val="24"/>
          <w:lang w:val="en-US"/>
        </w:rPr>
        <w:t xml:space="preserve">‘queen’ and Hittite </w:t>
      </w:r>
      <w:r w:rsidRPr="007E6F48">
        <w:rPr>
          <w:rFonts w:ascii="Palatino Linotype" w:hAnsi="Palatino Linotype"/>
          <w:i/>
          <w:sz w:val="24"/>
          <w:lang w:val="en-US"/>
        </w:rPr>
        <w:t>ishassaras mi</w:t>
      </w:r>
      <w:r>
        <w:rPr>
          <w:rFonts w:ascii="Palatino Linotype" w:hAnsi="Palatino Linotype"/>
          <w:i/>
          <w:sz w:val="24"/>
          <w:lang w:val="en-US"/>
        </w:rPr>
        <w:t>s</w:t>
      </w:r>
      <w:r w:rsidRPr="007E6F48">
        <w:rPr>
          <w:rFonts w:ascii="Palatino Linotype" w:hAnsi="Palatino Linotype"/>
          <w:i/>
          <w:sz w:val="24"/>
          <w:lang w:val="en-US"/>
        </w:rPr>
        <w:t xml:space="preserve"> </w:t>
      </w:r>
      <w:r w:rsidRPr="007E6F48">
        <w:rPr>
          <w:rFonts w:ascii="Palatino Linotype" w:hAnsi="Palatino Linotype"/>
          <w:sz w:val="24"/>
          <w:lang w:val="en-US"/>
        </w:rPr>
        <w:t>‘my lady’ leads L. R. Palmer to the Hittite-Luwian interpretation of the script.</w:t>
      </w:r>
      <w:r>
        <w:rPr>
          <w:rStyle w:val="a9"/>
          <w:rFonts w:ascii="Palatino Linotype" w:hAnsi="Palatino Linotype"/>
          <w:sz w:val="24"/>
          <w:lang w:val="en-US"/>
        </w:rPr>
        <w:footnoteReference w:id="6"/>
      </w:r>
      <w:r w:rsidRPr="007E6F48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However, </w:t>
      </w:r>
      <w:r>
        <w:rPr>
          <w:rFonts w:ascii="Palatino Linotype" w:hAnsi="Palatino Linotype"/>
          <w:i/>
          <w:sz w:val="24"/>
          <w:lang w:val="en-US"/>
        </w:rPr>
        <w:t xml:space="preserve">a-sa-sa-ra </w:t>
      </w:r>
      <w:r>
        <w:rPr>
          <w:rFonts w:ascii="Palatino Linotype" w:hAnsi="Palatino Linotype"/>
          <w:sz w:val="24"/>
          <w:lang w:val="en-US"/>
        </w:rPr>
        <w:t xml:space="preserve">(‘the corner stone of a proof </w:t>
      </w:r>
      <w:r>
        <w:rPr>
          <w:rFonts w:ascii="Palatino Linotype" w:hAnsi="Palatino Linotype"/>
          <w:sz w:val="24"/>
          <w:lang w:val="en-US"/>
        </w:rPr>
        <w:lastRenderedPageBreak/>
        <w:t>that the language of Linear A must be Luvian’) is not existed as a distinct word in Linear A</w:t>
      </w:r>
      <w:r>
        <w:rPr>
          <w:rStyle w:val="a9"/>
          <w:rFonts w:ascii="Palatino Linotype" w:hAnsi="Palatino Linotype"/>
          <w:sz w:val="24"/>
          <w:lang w:val="en-US"/>
        </w:rPr>
        <w:footnoteReference w:id="7"/>
      </w:r>
      <w:r>
        <w:rPr>
          <w:rFonts w:ascii="Palatino Linotype" w:hAnsi="Palatino Linotype"/>
          <w:sz w:val="24"/>
          <w:lang w:val="en-US"/>
        </w:rPr>
        <w:t xml:space="preserve">. Moreover, a variant </w:t>
      </w:r>
      <w:r>
        <w:rPr>
          <w:rFonts w:ascii="Palatino Linotype" w:hAnsi="Palatino Linotype"/>
          <w:i/>
          <w:sz w:val="24"/>
          <w:lang w:val="en-US"/>
        </w:rPr>
        <w:t xml:space="preserve">ja-sa-sa-ra- </w:t>
      </w:r>
      <w:r>
        <w:rPr>
          <w:rFonts w:ascii="Palatino Linotype" w:hAnsi="Palatino Linotype"/>
          <w:sz w:val="24"/>
          <w:lang w:val="en-US"/>
        </w:rPr>
        <w:t xml:space="preserve">is not interpreted in Hittite-Luwian.   </w:t>
      </w:r>
      <w:r w:rsidRPr="007E6F48">
        <w:rPr>
          <w:rFonts w:ascii="Palatino Linotype" w:hAnsi="Palatino Linotype"/>
          <w:sz w:val="24"/>
          <w:lang w:val="en-US"/>
        </w:rPr>
        <w:t xml:space="preserve">  </w:t>
      </w:r>
      <w:r w:rsidRPr="007E6F48">
        <w:rPr>
          <w:rFonts w:ascii="Palatino Linotype" w:hAnsi="Palatino Linotype"/>
          <w:i/>
          <w:sz w:val="24"/>
          <w:lang w:val="en-US"/>
        </w:rPr>
        <w:t xml:space="preserve"> </w:t>
      </w:r>
      <w:r w:rsidRPr="007E6F48">
        <w:rPr>
          <w:rFonts w:ascii="Palatino Linotype" w:hAnsi="Palatino Linotype"/>
          <w:sz w:val="24"/>
          <w:lang w:val="en-US"/>
        </w:rPr>
        <w:t xml:space="preserve">  </w:t>
      </w:r>
    </w:p>
    <w:p w:rsidR="00FF4824" w:rsidRPr="009D77B7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Another argument is Lin. A </w:t>
      </w:r>
      <w:r>
        <w:rPr>
          <w:rFonts w:ascii="Palatino Linotype" w:hAnsi="Palatino Linotype"/>
          <w:i/>
          <w:sz w:val="24"/>
          <w:lang w:val="en-US"/>
        </w:rPr>
        <w:t>a-ta-no- / ja-ta-no- / ta-na-no-</w:t>
      </w:r>
      <w:r>
        <w:rPr>
          <w:rFonts w:ascii="Palatino Linotype" w:hAnsi="Palatino Linotype"/>
          <w:sz w:val="24"/>
          <w:lang w:val="en-US"/>
        </w:rPr>
        <w:t xml:space="preserve">, compared with Hitt. </w:t>
      </w:r>
      <w:r>
        <w:rPr>
          <w:rFonts w:ascii="Palatino Linotype" w:hAnsi="Palatino Linotype"/>
          <w:i/>
          <w:sz w:val="24"/>
          <w:lang w:val="en-US"/>
        </w:rPr>
        <w:t xml:space="preserve">istananas </w:t>
      </w:r>
      <w:r>
        <w:rPr>
          <w:rFonts w:ascii="Palatino Linotype" w:hAnsi="Palatino Linotype"/>
          <w:sz w:val="24"/>
          <w:lang w:val="en-US"/>
        </w:rPr>
        <w:t>‘altar’ (E. Peruzzi)</w:t>
      </w:r>
      <w:r>
        <w:rPr>
          <w:rStyle w:val="a9"/>
          <w:rFonts w:ascii="Palatino Linotype" w:hAnsi="Palatino Linotype"/>
          <w:sz w:val="24"/>
          <w:lang w:val="en-US"/>
        </w:rPr>
        <w:footnoteReference w:id="8"/>
      </w:r>
      <w:r>
        <w:rPr>
          <w:rFonts w:ascii="Palatino Linotype" w:hAnsi="Palatino Linotype"/>
          <w:sz w:val="24"/>
          <w:lang w:val="en-US"/>
        </w:rPr>
        <w:t xml:space="preserve">, but these Linear A words now have another reading </w:t>
      </w:r>
      <w:r>
        <w:rPr>
          <w:rFonts w:ascii="Palatino Linotype" w:hAnsi="Palatino Linotype"/>
          <w:i/>
          <w:sz w:val="24"/>
          <w:lang w:val="en-US"/>
        </w:rPr>
        <w:t>a-ta-i- / ja-ta-i- / ta-na-i-</w:t>
      </w:r>
      <w:r>
        <w:rPr>
          <w:rFonts w:ascii="Palatino Linotype" w:hAnsi="Palatino Linotype"/>
          <w:sz w:val="24"/>
          <w:lang w:val="en-US"/>
        </w:rPr>
        <w:t xml:space="preserve">.   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 w:rsidRPr="00B1102C">
        <w:rPr>
          <w:rFonts w:ascii="Palatino Linotype" w:hAnsi="Palatino Linotype"/>
          <w:sz w:val="24"/>
          <w:lang w:val="en-US"/>
        </w:rPr>
        <w:t>S. Davis defended the Semitic hypothesis</w:t>
      </w:r>
      <w:r>
        <w:rPr>
          <w:rFonts w:ascii="Palatino Linotype" w:hAnsi="Palatino Linotype"/>
          <w:sz w:val="24"/>
          <w:lang w:val="en-US"/>
        </w:rPr>
        <w:t xml:space="preserve"> initially</w:t>
      </w:r>
      <w:r w:rsidRPr="00B1102C">
        <w:rPr>
          <w:rStyle w:val="a9"/>
          <w:rFonts w:ascii="Palatino Linotype" w:hAnsi="Palatino Linotype"/>
          <w:sz w:val="24"/>
          <w:lang w:val="en-US"/>
        </w:rPr>
        <w:footnoteReference w:id="9"/>
      </w:r>
      <w:r>
        <w:rPr>
          <w:rFonts w:ascii="Palatino Linotype" w:hAnsi="Palatino Linotype"/>
          <w:sz w:val="24"/>
          <w:lang w:val="en-US"/>
        </w:rPr>
        <w:t>, grounding on some incorrect readings of Linear A signs</w:t>
      </w:r>
      <w:r w:rsidRPr="00B1102C">
        <w:rPr>
          <w:rStyle w:val="a9"/>
          <w:rFonts w:ascii="Palatino Linotype" w:hAnsi="Palatino Linotype"/>
          <w:sz w:val="24"/>
          <w:lang w:val="en-US"/>
        </w:rPr>
        <w:footnoteReference w:id="10"/>
      </w:r>
      <w:r>
        <w:rPr>
          <w:rFonts w:ascii="Palatino Linotype" w:hAnsi="Palatino Linotype"/>
          <w:sz w:val="24"/>
          <w:lang w:val="en-US"/>
        </w:rPr>
        <w:t>, but later he became a supporter of the Hittite-Luwian hypothesis, also basing on the not generally accepted value of signs</w:t>
      </w:r>
      <w:r>
        <w:rPr>
          <w:rStyle w:val="a9"/>
          <w:rFonts w:ascii="Palatino Linotype" w:hAnsi="Palatino Linotype"/>
          <w:color w:val="000000"/>
          <w:sz w:val="24"/>
          <w:lang w:val="en-US"/>
        </w:rPr>
        <w:footnoteReference w:id="11"/>
      </w:r>
      <w:r>
        <w:rPr>
          <w:rFonts w:ascii="Palatino Linotype" w:hAnsi="Palatino Linotype"/>
          <w:sz w:val="24"/>
          <w:lang w:val="en-US"/>
        </w:rPr>
        <w:t xml:space="preserve">.   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>M. Finkelberg’s Lycian hypothesis corresponds with Herodotus’ evidence of the Cretan origin of Lycians</w:t>
      </w:r>
      <w:r>
        <w:rPr>
          <w:rStyle w:val="a9"/>
          <w:rFonts w:ascii="Palatino Linotype" w:hAnsi="Palatino Linotype"/>
          <w:sz w:val="24"/>
          <w:lang w:val="en-US"/>
        </w:rPr>
        <w:footnoteReference w:id="12"/>
      </w:r>
      <w:r>
        <w:rPr>
          <w:rFonts w:ascii="Palatino Linotype" w:hAnsi="Palatino Linotype"/>
          <w:sz w:val="24"/>
          <w:lang w:val="en-US"/>
        </w:rPr>
        <w:t>, but it is disputable linguistically (Hittite-Luwian texts can’t begin from grammatical elements, postulated by M. Finkelberg)</w:t>
      </w:r>
      <w:r>
        <w:rPr>
          <w:rStyle w:val="a9"/>
          <w:rFonts w:ascii="Palatino Linotype" w:hAnsi="Palatino Linotype"/>
          <w:sz w:val="24"/>
          <w:lang w:val="en-US"/>
        </w:rPr>
        <w:footnoteReference w:id="13"/>
      </w:r>
      <w:r>
        <w:rPr>
          <w:rFonts w:ascii="Palatino Linotype" w:hAnsi="Palatino Linotype"/>
          <w:sz w:val="24"/>
          <w:lang w:val="en-US"/>
        </w:rPr>
        <w:t xml:space="preserve"> and chronologically (Linear A, attested from </w:t>
      </w:r>
      <w:r w:rsidRPr="009D77B7">
        <w:rPr>
          <w:rFonts w:ascii="Palatino Linotype" w:hAnsi="Palatino Linotype"/>
          <w:sz w:val="24"/>
          <w:lang w:val="en-US"/>
        </w:rPr>
        <w:t>the</w:t>
      </w:r>
      <w:r>
        <w:rPr>
          <w:rFonts w:ascii="Palatino Linotype" w:hAnsi="Palatino Linotype"/>
          <w:sz w:val="24"/>
          <w:lang w:val="en-US"/>
        </w:rPr>
        <w:t xml:space="preserve"> early 2</w:t>
      </w:r>
      <w:r w:rsidRPr="003A6219">
        <w:rPr>
          <w:rFonts w:ascii="Palatino Linotype" w:hAnsi="Palatino Linotype"/>
          <w:sz w:val="24"/>
          <w:vertAlign w:val="superscript"/>
          <w:lang w:val="en-US"/>
        </w:rPr>
        <w:t>nd</w:t>
      </w:r>
      <w:r>
        <w:rPr>
          <w:rFonts w:ascii="Palatino Linotype" w:hAnsi="Palatino Linotype"/>
          <w:sz w:val="24"/>
          <w:lang w:val="en-US"/>
        </w:rPr>
        <w:t xml:space="preserve"> millennium BC, was not a contemporary of the 1</w:t>
      </w:r>
      <w:r w:rsidRPr="003A6219">
        <w:rPr>
          <w:rFonts w:ascii="Palatino Linotype" w:hAnsi="Palatino Linotype"/>
          <w:sz w:val="24"/>
          <w:vertAlign w:val="superscript"/>
          <w:lang w:val="en-US"/>
        </w:rPr>
        <w:t>st</w:t>
      </w:r>
      <w:r>
        <w:rPr>
          <w:rFonts w:ascii="Palatino Linotype" w:hAnsi="Palatino Linotype"/>
          <w:sz w:val="24"/>
          <w:lang w:val="en-US"/>
        </w:rPr>
        <w:t xml:space="preserve">-millennium BC Lycian).   </w:t>
      </w:r>
    </w:p>
    <w:p w:rsidR="00FF4824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 w:rsidRPr="009D77B7">
        <w:rPr>
          <w:rFonts w:ascii="Palatino Linotype" w:hAnsi="Palatino Linotype"/>
          <w:sz w:val="24"/>
          <w:lang w:val="en-US"/>
        </w:rPr>
        <w:t>The</w:t>
      </w:r>
      <w:r>
        <w:rPr>
          <w:rFonts w:ascii="Palatino Linotype" w:hAnsi="Palatino Linotype"/>
          <w:sz w:val="24"/>
          <w:lang w:val="en-US"/>
        </w:rPr>
        <w:t xml:space="preserve"> suggested Hittite-Luwian substrate in Greek (especially in toponymy) is questioned now: ‘</w:t>
      </w:r>
      <w:r w:rsidRPr="00F95CE6">
        <w:rPr>
          <w:rFonts w:ascii="Palatino Linotype" w:hAnsi="Palatino Linotype"/>
          <w:sz w:val="24"/>
          <w:lang w:val="en-US"/>
        </w:rPr>
        <w:t>Neither the substrate suffix *-ntho- nor the substrate suffix *-tso- would have convincing comparanda in the Indo-Hittite language family.</w:t>
      </w:r>
      <w:r>
        <w:rPr>
          <w:rFonts w:ascii="Palatino Linotype" w:hAnsi="Palatino Linotype"/>
          <w:sz w:val="24"/>
          <w:lang w:val="en-US"/>
        </w:rPr>
        <w:t>’</w:t>
      </w:r>
      <w:r>
        <w:rPr>
          <w:rStyle w:val="a9"/>
          <w:rFonts w:ascii="Palatino Linotype" w:hAnsi="Palatino Linotype"/>
          <w:sz w:val="24"/>
          <w:lang w:val="en-US"/>
        </w:rPr>
        <w:footnoteReference w:id="14"/>
      </w:r>
      <w:r>
        <w:rPr>
          <w:rFonts w:ascii="Palatino Linotype" w:hAnsi="Palatino Linotype"/>
          <w:sz w:val="24"/>
          <w:lang w:val="en-US"/>
        </w:rPr>
        <w:t xml:space="preserve">   </w:t>
      </w:r>
    </w:p>
    <w:p w:rsidR="00FF4824" w:rsidRPr="00F17576" w:rsidRDefault="00FF4824" w:rsidP="00FF4824">
      <w:pPr>
        <w:autoSpaceDE w:val="0"/>
        <w:autoSpaceDN w:val="0"/>
        <w:adjustRightInd w:val="0"/>
        <w:ind w:firstLine="284"/>
        <w:jc w:val="both"/>
        <w:rPr>
          <w:rFonts w:ascii="Palatino Linotype" w:hAnsi="Palatino Linotype"/>
          <w:sz w:val="24"/>
          <w:lang w:val="en-US"/>
        </w:rPr>
      </w:pPr>
      <w:r w:rsidRPr="001A2C21">
        <w:rPr>
          <w:rFonts w:ascii="Palatino Linotype" w:hAnsi="Palatino Linotype"/>
          <w:sz w:val="24"/>
          <w:lang w:val="en-US"/>
        </w:rPr>
        <w:t>In conclusion</w:t>
      </w:r>
      <w:r>
        <w:rPr>
          <w:rFonts w:ascii="Palatino Linotype" w:hAnsi="Palatino Linotype"/>
          <w:sz w:val="24"/>
          <w:lang w:val="en-US"/>
        </w:rPr>
        <w:t xml:space="preserve">, M. Pope’s words about the Semitic hypothesis (see below) might be exactly re-adressed to the Hittite-Luwian hypothesis: if grammars and vocabularies of the Hittite-Luwian languages were not applied correctly to Linear A then the language of this script is not Hittite-Luwian. We must assume that no Linear A text was completely and correctly read in any Hittite-Luwian language. This statement </w:t>
      </w:r>
      <w:r w:rsidRPr="009D77B7">
        <w:rPr>
          <w:rFonts w:ascii="Palatino Linotype" w:hAnsi="Palatino Linotype"/>
          <w:sz w:val="24"/>
          <w:lang w:val="en-US"/>
        </w:rPr>
        <w:t>does</w:t>
      </w:r>
      <w:r>
        <w:rPr>
          <w:rFonts w:ascii="Palatino Linotype" w:hAnsi="Palatino Linotype"/>
          <w:sz w:val="24"/>
          <w:lang w:val="en-US"/>
        </w:rPr>
        <w:t xml:space="preserve"> not exclude </w:t>
      </w:r>
      <w:r w:rsidRPr="009D77B7">
        <w:rPr>
          <w:rFonts w:ascii="Palatino Linotype" w:hAnsi="Palatino Linotype"/>
          <w:sz w:val="24"/>
          <w:lang w:val="en-US"/>
        </w:rPr>
        <w:t>the</w:t>
      </w:r>
      <w:r>
        <w:rPr>
          <w:rFonts w:ascii="Palatino Linotype" w:hAnsi="Palatino Linotype"/>
          <w:sz w:val="24"/>
          <w:lang w:val="en-US"/>
        </w:rPr>
        <w:t xml:space="preserve"> Anatolian influence on Crete in lexicon and syllabic signs.   </w:t>
      </w:r>
    </w:p>
    <w:p w:rsidR="00814CC1" w:rsidRPr="00FF4824" w:rsidRDefault="00814CC1">
      <w:pPr>
        <w:rPr>
          <w:lang w:val="en-US"/>
        </w:rPr>
      </w:pPr>
    </w:p>
    <w:sectPr w:rsidR="00814CC1" w:rsidRPr="00FF4824" w:rsidSect="00814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2F51" w:rsidRDefault="00A02F51" w:rsidP="00FF4824">
      <w:r>
        <w:separator/>
      </w:r>
    </w:p>
  </w:endnote>
  <w:endnote w:type="continuationSeparator" w:id="0">
    <w:p w:rsidR="00A02F51" w:rsidRDefault="00A02F51" w:rsidP="00FF48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ode2000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2F51" w:rsidRDefault="00A02F51" w:rsidP="00FF4824">
      <w:r>
        <w:separator/>
      </w:r>
    </w:p>
  </w:footnote>
  <w:footnote w:type="continuationSeparator" w:id="0">
    <w:p w:rsidR="00A02F51" w:rsidRDefault="00A02F51" w:rsidP="00FF4824">
      <w:r>
        <w:continuationSeparator/>
      </w:r>
    </w:p>
  </w:footnote>
  <w:footnote w:id="1">
    <w:p w:rsidR="00FF4824" w:rsidRPr="007E6F48" w:rsidRDefault="00FF4824" w:rsidP="00FF4824">
      <w:pPr>
        <w:pStyle w:val="a7"/>
        <w:rPr>
          <w:rFonts w:ascii="Palatino Linotype" w:hAnsi="Palatino Linotype"/>
          <w:lang w:val="en-US"/>
        </w:rPr>
      </w:pPr>
      <w:r w:rsidRPr="007E6F48">
        <w:rPr>
          <w:rStyle w:val="a9"/>
          <w:rFonts w:ascii="Palatino Linotype" w:hAnsi="Palatino Linotype"/>
        </w:rPr>
        <w:footnoteRef/>
      </w:r>
      <w:r w:rsidRPr="007E6F48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Palmer, L. R. Luvian and Linear A, 1958, </w:t>
      </w:r>
      <w:hyperlink r:id="rId1" w:history="1">
        <w:r w:rsidRPr="0027508A">
          <w:rPr>
            <w:rStyle w:val="a8"/>
            <w:rFonts w:ascii="Palatino Linotype" w:hAnsi="Palatino Linotype"/>
            <w:lang w:val="en-US"/>
          </w:rPr>
          <w:t>https://onlinelibrary.wiley.com/doi/pdf/10.1111/j.1467-968X.1958.tb01273.x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2">
    <w:p w:rsidR="00FF4824" w:rsidRPr="00515F64" w:rsidRDefault="00FF4824" w:rsidP="00FF4824">
      <w:pPr>
        <w:pStyle w:val="a7"/>
        <w:jc w:val="both"/>
        <w:rPr>
          <w:lang w:val="en-US"/>
        </w:rPr>
      </w:pPr>
      <w:r w:rsidRPr="00B374C2">
        <w:rPr>
          <w:rStyle w:val="a9"/>
          <w:rFonts w:ascii="Palatino Linotype" w:hAnsi="Palatino Linotype"/>
        </w:rPr>
        <w:footnoteRef/>
      </w:r>
      <w:r w:rsidRPr="00B374C2">
        <w:rPr>
          <w:rFonts w:ascii="Palatino Linotype" w:hAnsi="Palatino Linotype"/>
          <w:lang w:val="en-US"/>
        </w:rPr>
        <w:t xml:space="preserve"> </w:t>
      </w:r>
      <w:r w:rsidRPr="002340D7">
        <w:rPr>
          <w:rFonts w:ascii="Palatino Linotype" w:hAnsi="Palatino Linotype"/>
          <w:lang w:val="en-US"/>
        </w:rPr>
        <w:t xml:space="preserve">Georgiev, V. Les deux langues des inscriptions Cretoises en linéaire A, </w:t>
      </w:r>
      <w:r w:rsidRPr="002340D7">
        <w:rPr>
          <w:rFonts w:ascii="Palatino Linotype" w:hAnsi="Palatino Linotype"/>
          <w:i/>
          <w:lang w:val="en-US"/>
        </w:rPr>
        <w:t>Linguistique balkanique</w:t>
      </w:r>
      <w:r w:rsidRPr="002340D7">
        <w:rPr>
          <w:rFonts w:ascii="Palatino Linotype" w:hAnsi="Palatino Linotype"/>
          <w:lang w:val="en-US"/>
        </w:rPr>
        <w:t xml:space="preserve"> 7, 1963, pp. 1-104</w:t>
      </w:r>
      <w:r>
        <w:rPr>
          <w:rFonts w:ascii="Palatino Linotype" w:hAnsi="Palatino Linotype"/>
          <w:lang w:val="en-US"/>
        </w:rPr>
        <w:t xml:space="preserve">; </w:t>
      </w:r>
      <w:r w:rsidRPr="00A17582">
        <w:rPr>
          <w:rFonts w:ascii="Palatino Linotype" w:hAnsi="Palatino Linotype"/>
          <w:bCs/>
          <w:lang w:val="en-US"/>
        </w:rPr>
        <w:t>Georgiev</w:t>
      </w:r>
      <w:r>
        <w:rPr>
          <w:rFonts w:ascii="Palatino Linotype" w:hAnsi="Palatino Linotype"/>
          <w:bCs/>
          <w:lang w:val="en-US"/>
        </w:rPr>
        <w:t>,</w:t>
      </w:r>
      <w:r w:rsidRPr="006827A8">
        <w:rPr>
          <w:rFonts w:ascii="Palatino Linotype" w:hAnsi="Palatino Linotype"/>
          <w:bCs/>
          <w:lang w:val="en-US"/>
        </w:rPr>
        <w:t xml:space="preserve"> </w:t>
      </w:r>
      <w:r w:rsidRPr="00A17582">
        <w:rPr>
          <w:rFonts w:ascii="Palatino Linotype" w:hAnsi="Palatino Linotype"/>
          <w:bCs/>
          <w:lang w:val="en-US"/>
        </w:rPr>
        <w:t xml:space="preserve">V. I. </w:t>
      </w:r>
      <w:r w:rsidRPr="00B374C2">
        <w:rPr>
          <w:rFonts w:ascii="Palatino Linotype" w:hAnsi="Palatino Linotype"/>
          <w:bCs/>
          <w:i/>
          <w:lang w:val="en-US"/>
        </w:rPr>
        <w:t xml:space="preserve"> Introduzione alla storia delle lingue indeuropee</w:t>
      </w:r>
      <w:r w:rsidRPr="00A17582">
        <w:rPr>
          <w:rFonts w:ascii="Palatino Linotype" w:hAnsi="Palatino Linotype"/>
          <w:bCs/>
          <w:lang w:val="en-US"/>
        </w:rPr>
        <w:t>. (Incunabula graeca, 9.) Pp. vi, 477. Rome: Edizioni dell' Ateneo, 1966</w:t>
      </w:r>
      <w:r>
        <w:rPr>
          <w:rFonts w:ascii="Palatino Linotype" w:hAnsi="Palatino Linotype"/>
          <w:lang w:val="en-US"/>
        </w:rPr>
        <w:t xml:space="preserve">.   </w:t>
      </w:r>
    </w:p>
  </w:footnote>
  <w:footnote w:id="3">
    <w:p w:rsidR="00FF4824" w:rsidRPr="00515F64" w:rsidRDefault="00FF4824" w:rsidP="00FF4824">
      <w:pPr>
        <w:autoSpaceDE w:val="0"/>
        <w:autoSpaceDN w:val="0"/>
        <w:adjustRightInd w:val="0"/>
        <w:jc w:val="both"/>
        <w:rPr>
          <w:lang w:val="en-US"/>
        </w:rPr>
      </w:pPr>
      <w:r w:rsidRPr="00A17582">
        <w:rPr>
          <w:rStyle w:val="a9"/>
          <w:rFonts w:ascii="Palatino Linotype" w:hAnsi="Palatino Linotype"/>
          <w:sz w:val="20"/>
          <w:szCs w:val="20"/>
        </w:rPr>
        <w:footnoteRef/>
      </w:r>
      <w:r w:rsidRPr="00A17582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Pr="00A17582">
        <w:rPr>
          <w:rFonts w:ascii="Palatino Linotype" w:eastAsia="Code2000" w:hAnsi="Palatino Linotype" w:cs="Code2000"/>
          <w:sz w:val="20"/>
          <w:szCs w:val="20"/>
          <w:lang w:val="en-US"/>
        </w:rPr>
        <w:t xml:space="preserve">Poultney, J. W. Rev. of: </w:t>
      </w:r>
      <w:r w:rsidRPr="00B374C2">
        <w:rPr>
          <w:rFonts w:ascii="Palatino Linotype" w:hAnsi="Palatino Linotype"/>
          <w:bCs/>
          <w:i/>
          <w:sz w:val="20"/>
          <w:szCs w:val="20"/>
          <w:lang w:val="en-US"/>
        </w:rPr>
        <w:t>Introduzione alla storia delle lingue indeuropee</w:t>
      </w:r>
      <w:r w:rsidRPr="00A17582">
        <w:rPr>
          <w:rFonts w:ascii="Palatino Linotype" w:hAnsi="Palatino Linotype"/>
          <w:bCs/>
          <w:sz w:val="20"/>
          <w:szCs w:val="20"/>
          <w:lang w:val="en-US"/>
        </w:rPr>
        <w:t>. By V. I. Georgiev.</w:t>
      </w:r>
      <w:r>
        <w:rPr>
          <w:rFonts w:ascii="Palatino Linotype" w:hAnsi="Palatino Linotype"/>
          <w:bCs/>
          <w:sz w:val="20"/>
          <w:szCs w:val="20"/>
          <w:lang w:val="en-US"/>
        </w:rPr>
        <w:t xml:space="preserve"> </w:t>
      </w:r>
      <w:r w:rsidRPr="00A17582">
        <w:rPr>
          <w:rFonts w:ascii="Palatino Linotype" w:hAnsi="Palatino Linotype"/>
          <w:bCs/>
          <w:sz w:val="20"/>
          <w:szCs w:val="20"/>
          <w:lang w:val="en-US"/>
        </w:rPr>
        <w:t>(Incunabula graeca, 9.) Pp. vi, 477. Rome: Edizioni dell' Ateneo, 1966</w:t>
      </w:r>
      <w:r>
        <w:rPr>
          <w:rFonts w:ascii="Palatino Linotype" w:hAnsi="Palatino Linotype"/>
          <w:bCs/>
          <w:sz w:val="20"/>
          <w:szCs w:val="20"/>
          <w:lang w:val="en-US"/>
        </w:rPr>
        <w:t>,</w:t>
      </w:r>
      <w:r w:rsidRPr="00A17582">
        <w:rPr>
          <w:rFonts w:ascii="Palatino Linotype" w:eastAsia="Code2000" w:hAnsi="Palatino Linotype" w:cs="Code2000"/>
          <w:sz w:val="20"/>
          <w:szCs w:val="20"/>
          <w:lang w:val="en-US"/>
        </w:rPr>
        <w:t xml:space="preserve"> </w:t>
      </w:r>
      <w:r w:rsidRPr="00A17582">
        <w:rPr>
          <w:rFonts w:ascii="Palatino Linotype" w:eastAsia="Code2000" w:hAnsi="Palatino Linotype" w:cs="Code2000"/>
          <w:i/>
          <w:sz w:val="20"/>
          <w:szCs w:val="20"/>
          <w:lang w:val="en-US"/>
        </w:rPr>
        <w:t>Language</w:t>
      </w:r>
      <w:r w:rsidRPr="00A17582">
        <w:rPr>
          <w:rFonts w:ascii="Palatino Linotype" w:eastAsia="Code2000" w:hAnsi="Palatino Linotype" w:cs="Code2000"/>
          <w:sz w:val="20"/>
          <w:szCs w:val="20"/>
          <w:lang w:val="en-US"/>
        </w:rPr>
        <w:t>, Vol. 44, No. 2, Part 1 (Jun., 1968), p. 337</w:t>
      </w:r>
      <w:r>
        <w:rPr>
          <w:rFonts w:ascii="Palatino Linotype" w:eastAsia="Code2000" w:hAnsi="Palatino Linotype" w:cs="Code2000"/>
          <w:sz w:val="20"/>
          <w:szCs w:val="20"/>
          <w:lang w:val="en-US"/>
        </w:rPr>
        <w:t xml:space="preserve">.   </w:t>
      </w:r>
    </w:p>
  </w:footnote>
  <w:footnote w:id="4">
    <w:p w:rsidR="00FF4824" w:rsidRPr="00120351" w:rsidRDefault="00FF4824" w:rsidP="00FF4824">
      <w:pPr>
        <w:pStyle w:val="a7"/>
        <w:rPr>
          <w:rFonts w:ascii="Palatino Linotype" w:hAnsi="Palatino Linotype"/>
          <w:lang w:val="en-US"/>
        </w:rPr>
      </w:pPr>
      <w:r w:rsidRPr="00120351">
        <w:rPr>
          <w:rStyle w:val="a9"/>
          <w:rFonts w:ascii="Palatino Linotype" w:hAnsi="Palatino Linotype"/>
        </w:rPr>
        <w:footnoteRef/>
      </w:r>
      <w:r w:rsidRPr="00120351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Herodot. 1.173; 1.171. See also Duhoux, Y. La langue du linéaire A a est-elle anatolienne? p. 209.    </w:t>
      </w:r>
    </w:p>
  </w:footnote>
  <w:footnote w:id="5">
    <w:p w:rsidR="00FF4824" w:rsidRPr="00802A48" w:rsidRDefault="00FF4824" w:rsidP="00FF4824">
      <w:pPr>
        <w:pStyle w:val="a7"/>
        <w:rPr>
          <w:rFonts w:ascii="Palatino Linotype" w:hAnsi="Palatino Linotype"/>
          <w:lang w:val="en-US"/>
        </w:rPr>
      </w:pPr>
      <w:r w:rsidRPr="00802A48">
        <w:rPr>
          <w:rStyle w:val="a9"/>
          <w:rFonts w:ascii="Palatino Linotype" w:hAnsi="Palatino Linotype"/>
        </w:rPr>
        <w:footnoteRef/>
      </w:r>
      <w:r w:rsidRPr="00802A48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Witczak, K. Non-Greek elements in the animal terminology of the ancient Polyrrhenians, </w:t>
      </w:r>
      <w:r>
        <w:rPr>
          <w:rFonts w:ascii="Palatino Linotype" w:hAnsi="Palatino Linotype"/>
          <w:i/>
          <w:lang w:val="en-US"/>
        </w:rPr>
        <w:t xml:space="preserve">Eos polonorum </w:t>
      </w:r>
      <w:r>
        <w:rPr>
          <w:rFonts w:ascii="Palatino Linotype" w:hAnsi="Palatino Linotype"/>
          <w:lang w:val="en-US"/>
        </w:rPr>
        <w:t xml:space="preserve">(1996), Vol. LXXXIII/1995.   </w:t>
      </w:r>
    </w:p>
  </w:footnote>
  <w:footnote w:id="6">
    <w:p w:rsidR="00FF4824" w:rsidRPr="007E6F48" w:rsidRDefault="00FF4824" w:rsidP="00FF4824">
      <w:pPr>
        <w:pStyle w:val="a7"/>
        <w:rPr>
          <w:rFonts w:ascii="Palatino Linotype" w:hAnsi="Palatino Linotype"/>
          <w:lang w:val="en-US"/>
        </w:rPr>
      </w:pPr>
      <w:r w:rsidRPr="007E6F48">
        <w:rPr>
          <w:rStyle w:val="a9"/>
          <w:rFonts w:ascii="Palatino Linotype" w:hAnsi="Palatino Linotype"/>
        </w:rPr>
        <w:footnoteRef/>
      </w:r>
      <w:r w:rsidRPr="007E6F48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Palmer, L. R. Luvian and Linear A, 1958, </w:t>
      </w:r>
      <w:hyperlink r:id="rId2" w:history="1">
        <w:r w:rsidRPr="0027508A">
          <w:rPr>
            <w:rStyle w:val="a8"/>
            <w:rFonts w:ascii="Palatino Linotype" w:hAnsi="Palatino Linotype"/>
            <w:lang w:val="en-US"/>
          </w:rPr>
          <w:t>https://onlinelibrary.wiley.com/doi/pdf/10.1111/j.1467-968X.1958.tb01273.x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7">
    <w:p w:rsidR="00FF4824" w:rsidRPr="005F38AD" w:rsidRDefault="00FF4824" w:rsidP="00FF4824">
      <w:pPr>
        <w:pStyle w:val="a7"/>
        <w:jc w:val="both"/>
        <w:rPr>
          <w:rFonts w:ascii="Palatino Linotype" w:hAnsi="Palatino Linotype"/>
          <w:lang w:val="en-US"/>
        </w:rPr>
      </w:pPr>
      <w:r w:rsidRPr="001B0294">
        <w:rPr>
          <w:rStyle w:val="a9"/>
          <w:rFonts w:ascii="Palatino Linotype" w:hAnsi="Palatino Linotype"/>
        </w:rPr>
        <w:footnoteRef/>
      </w:r>
      <w:r w:rsidRPr="001B0294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Pope, M. The Minoan goddess </w:t>
      </w:r>
      <w:r>
        <w:rPr>
          <w:rFonts w:ascii="Palatino Linotype" w:hAnsi="Palatino Linotype"/>
          <w:i/>
          <w:lang w:val="en-US"/>
        </w:rPr>
        <w:t>Asasara</w:t>
      </w:r>
      <w:r>
        <w:rPr>
          <w:rFonts w:ascii="Palatino Linotype" w:hAnsi="Palatino Linotype"/>
          <w:lang w:val="en-US"/>
        </w:rPr>
        <w:t xml:space="preserve"> – an obituary, </w:t>
      </w:r>
      <w:r>
        <w:rPr>
          <w:rFonts w:ascii="Palatino Linotype" w:hAnsi="Palatino Linotype"/>
          <w:i/>
          <w:lang w:val="en-US"/>
        </w:rPr>
        <w:t xml:space="preserve">Bulletin of the Institute of Classical Studies </w:t>
      </w:r>
      <w:r>
        <w:rPr>
          <w:rFonts w:ascii="Palatino Linotype" w:hAnsi="Palatino Linotype"/>
          <w:lang w:val="en-US"/>
        </w:rPr>
        <w:t xml:space="preserve">(1961), Vol. 8, Issue 1.   </w:t>
      </w:r>
    </w:p>
  </w:footnote>
  <w:footnote w:id="8">
    <w:p w:rsidR="00FF4824" w:rsidRPr="009D77B7" w:rsidRDefault="00FF4824" w:rsidP="00FF4824">
      <w:pPr>
        <w:pStyle w:val="a7"/>
        <w:jc w:val="both"/>
        <w:rPr>
          <w:rFonts w:ascii="Palatino Linotype" w:hAnsi="Palatino Linotype"/>
        </w:rPr>
      </w:pPr>
      <w:r w:rsidRPr="009D77B7">
        <w:rPr>
          <w:rStyle w:val="a9"/>
          <w:rFonts w:ascii="Palatino Linotype" w:hAnsi="Palatino Linotype"/>
        </w:rPr>
        <w:footnoteRef/>
      </w:r>
      <w:r w:rsidRPr="009D77B7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lang w:val="en-US"/>
        </w:rPr>
        <w:t>Comments</w:t>
      </w:r>
      <w:r w:rsidRPr="009D77B7">
        <w:rPr>
          <w:rFonts w:ascii="Palatino Linotype" w:hAnsi="Palatino Linotype"/>
        </w:rPr>
        <w:t xml:space="preserve">: </w:t>
      </w:r>
      <w:r>
        <w:rPr>
          <w:rFonts w:ascii="Palatino Linotype" w:hAnsi="Palatino Linotype"/>
          <w:lang w:val="en-US"/>
        </w:rPr>
        <w:t>Pope</w:t>
      </w:r>
      <w:r w:rsidRPr="005E0C3B">
        <w:rPr>
          <w:rFonts w:ascii="Palatino Linotype" w:hAnsi="Palatino Linotype"/>
        </w:rPr>
        <w:t>,</w:t>
      </w:r>
      <w:r>
        <w:rPr>
          <w:rFonts w:ascii="Palatino Linotype" w:hAnsi="Palatino Linotype"/>
          <w:lang w:val="en-US"/>
        </w:rPr>
        <w:t> m</w:t>
      </w:r>
      <w:r w:rsidRPr="005E0C3B">
        <w:rPr>
          <w:rFonts w:ascii="Palatino Linotype" w:hAnsi="Palatino Linotype"/>
        </w:rPr>
        <w:t xml:space="preserve">. </w:t>
      </w:r>
      <w:r>
        <w:rPr>
          <w:rFonts w:ascii="Palatino Linotype" w:hAnsi="Palatino Linotype"/>
          <w:lang w:val="en-US"/>
        </w:rPr>
        <w:t>Aegean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lang w:val="en-US"/>
        </w:rPr>
        <w:t>writing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lang w:val="en-US"/>
        </w:rPr>
        <w:t>and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lang w:val="en-US"/>
        </w:rPr>
        <w:t>Linear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lang w:val="en-US"/>
        </w:rPr>
        <w:t>A</w:t>
      </w:r>
      <w:r w:rsidRPr="005E0C3B">
        <w:rPr>
          <w:rFonts w:ascii="Palatino Linotype" w:hAnsi="Palatino Linotype"/>
        </w:rPr>
        <w:t xml:space="preserve"> (</w:t>
      </w:r>
      <w:r>
        <w:rPr>
          <w:rFonts w:ascii="Palatino Linotype" w:hAnsi="Palatino Linotype"/>
          <w:lang w:val="en-US"/>
        </w:rPr>
        <w:t>Cape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lang w:val="en-US"/>
        </w:rPr>
        <w:t>Town</w:t>
      </w:r>
      <w:r w:rsidRPr="005E0C3B">
        <w:rPr>
          <w:rFonts w:ascii="Palatino Linotype" w:hAnsi="Palatino Linotype"/>
        </w:rPr>
        <w:t xml:space="preserve"> 1964); </w:t>
      </w:r>
      <w:r>
        <w:rPr>
          <w:rFonts w:ascii="Palatino Linotype" w:hAnsi="Palatino Linotype"/>
        </w:rPr>
        <w:t>Поуп</w:t>
      </w:r>
      <w:r w:rsidRPr="005E0C3B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М</w:t>
      </w:r>
      <w:r w:rsidRPr="005E0C3B">
        <w:rPr>
          <w:rFonts w:ascii="Palatino Linotype" w:hAnsi="Palatino Linotype"/>
        </w:rPr>
        <w:t xml:space="preserve">. </w:t>
      </w:r>
      <w:r>
        <w:rPr>
          <w:rFonts w:ascii="Palatino Linotype" w:hAnsi="Palatino Linotype"/>
        </w:rPr>
        <w:t>Линейное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письмо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А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и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проблема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эгейской</w:t>
      </w:r>
      <w:r w:rsidRPr="005E0C3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письменности</w:t>
      </w:r>
      <w:r w:rsidRPr="005E0C3B"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  <w:i/>
        </w:rPr>
        <w:t xml:space="preserve">Тайны древних письмен: проблемы дешифровки </w:t>
      </w:r>
      <w:r>
        <w:rPr>
          <w:rFonts w:ascii="Palatino Linotype" w:hAnsi="Palatino Linotype"/>
        </w:rPr>
        <w:t>(Москва 1976), с. 92.</w:t>
      </w:r>
    </w:p>
  </w:footnote>
  <w:footnote w:id="9">
    <w:p w:rsidR="00FF4824" w:rsidRPr="00B1102C" w:rsidRDefault="00FF4824" w:rsidP="00FF4824">
      <w:pPr>
        <w:pStyle w:val="a7"/>
        <w:jc w:val="both"/>
        <w:rPr>
          <w:rFonts w:ascii="Palatino Linotype" w:hAnsi="Palatino Linotype"/>
          <w:lang w:val="en-US"/>
        </w:rPr>
      </w:pPr>
      <w:r w:rsidRPr="00B1102C">
        <w:rPr>
          <w:rStyle w:val="a9"/>
          <w:rFonts w:ascii="Palatino Linotype" w:hAnsi="Palatino Linotype"/>
        </w:rPr>
        <w:footnoteRef/>
      </w:r>
      <w:r w:rsidRPr="00B1102C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Davis, S. </w:t>
      </w:r>
      <w:r w:rsidRPr="00D60A19">
        <w:rPr>
          <w:rFonts w:ascii="Palatino Linotype" w:hAnsi="Palatino Linotype"/>
          <w:i/>
          <w:iCs/>
          <w:lang w:val="en-US"/>
        </w:rPr>
        <w:t xml:space="preserve">The Language of the Linear A Script of Minoan Crete and Its Morphology, </w:t>
      </w:r>
      <w:r>
        <w:rPr>
          <w:rFonts w:ascii="Palatino Linotype" w:hAnsi="Palatino Linotype"/>
          <w:lang w:val="en-US"/>
        </w:rPr>
        <w:t xml:space="preserve">a </w:t>
      </w:r>
      <w:r w:rsidRPr="00D60A19">
        <w:rPr>
          <w:rFonts w:ascii="Palatino Linotype" w:hAnsi="Palatino Linotype"/>
          <w:lang w:val="en-US"/>
        </w:rPr>
        <w:t>mimeographed paper privately</w:t>
      </w:r>
      <w:r w:rsidRPr="00D60A19">
        <w:rPr>
          <w:rFonts w:ascii="Palatino Linotype" w:hAnsi="Palatino Linotype"/>
          <w:i/>
          <w:iCs/>
          <w:lang w:val="en-US"/>
        </w:rPr>
        <w:t xml:space="preserve"> </w:t>
      </w:r>
      <w:r w:rsidRPr="00D60A19">
        <w:rPr>
          <w:rFonts w:ascii="Palatino Linotype" w:hAnsi="Palatino Linotype"/>
          <w:lang w:val="en-US"/>
        </w:rPr>
        <w:t>circulated through the courtesy of the Mycenaean Seminar of the Institute</w:t>
      </w:r>
      <w:r w:rsidRPr="00D60A19">
        <w:rPr>
          <w:rFonts w:ascii="Palatino Linotype" w:hAnsi="Palatino Linotype"/>
          <w:i/>
          <w:iCs/>
          <w:lang w:val="en-US"/>
        </w:rPr>
        <w:t xml:space="preserve"> </w:t>
      </w:r>
      <w:r w:rsidRPr="00D60A19">
        <w:rPr>
          <w:rFonts w:ascii="Palatino Linotype" w:hAnsi="Palatino Linotype"/>
          <w:lang w:val="en-US"/>
        </w:rPr>
        <w:t>of Classical Studies of the University of London in January of 1959</w:t>
      </w:r>
    </w:p>
  </w:footnote>
  <w:footnote w:id="10">
    <w:p w:rsidR="00FF4824" w:rsidRPr="00D60A19" w:rsidRDefault="00FF4824" w:rsidP="00FF4824">
      <w:pPr>
        <w:pStyle w:val="a7"/>
        <w:rPr>
          <w:rFonts w:ascii="Palatino Linotype" w:hAnsi="Palatino Linotype"/>
          <w:lang w:val="en-US"/>
        </w:rPr>
      </w:pPr>
      <w:r w:rsidRPr="00D60A19">
        <w:rPr>
          <w:rStyle w:val="a9"/>
          <w:rFonts w:ascii="Palatino Linotype" w:hAnsi="Palatino Linotype"/>
        </w:rPr>
        <w:footnoteRef/>
      </w:r>
      <w:r w:rsidRPr="00D60A19">
        <w:rPr>
          <w:rFonts w:ascii="Palatino Linotype" w:hAnsi="Palatino Linotype"/>
          <w:lang w:val="en-US"/>
        </w:rPr>
        <w:t xml:space="preserve"> Peruzzi, </w:t>
      </w:r>
      <w:r>
        <w:rPr>
          <w:rFonts w:ascii="Palatino Linotype" w:hAnsi="Palatino Linotype"/>
          <w:lang w:val="en-US"/>
        </w:rPr>
        <w:t xml:space="preserve">E. Recent interpretations of Minoan (Linear A), </w:t>
      </w:r>
      <w:r>
        <w:rPr>
          <w:rFonts w:ascii="Palatino Linotype" w:hAnsi="Palatino Linotype"/>
          <w:i/>
          <w:lang w:val="en-US"/>
        </w:rPr>
        <w:t xml:space="preserve">Word </w:t>
      </w:r>
      <w:r>
        <w:rPr>
          <w:rFonts w:ascii="Palatino Linotype" w:hAnsi="Palatino Linotype"/>
          <w:lang w:val="en-US"/>
        </w:rPr>
        <w:t xml:space="preserve">15:2 (1959), </w:t>
      </w:r>
      <w:r w:rsidRPr="00D60A19">
        <w:rPr>
          <w:rFonts w:ascii="Palatino Linotype" w:hAnsi="Palatino Linotype"/>
          <w:lang w:val="en-US"/>
        </w:rPr>
        <w:t xml:space="preserve">p. </w:t>
      </w:r>
      <w:r>
        <w:rPr>
          <w:rFonts w:ascii="Palatino Linotype" w:hAnsi="Palatino Linotype"/>
          <w:lang w:val="en-US"/>
        </w:rPr>
        <w:t xml:space="preserve">321, </w:t>
      </w:r>
      <w:hyperlink r:id="rId3" w:history="1">
        <w:r w:rsidRPr="0027508A">
          <w:rPr>
            <w:rStyle w:val="a8"/>
            <w:rFonts w:ascii="Palatino Linotype" w:hAnsi="Palatino Linotype"/>
            <w:lang w:val="en-US"/>
          </w:rPr>
          <w:t>https://www.tandfonline.com/doi/pdf/10.1080/00437956.1959.11659701</w:t>
        </w:r>
      </w:hyperlink>
      <w:r>
        <w:rPr>
          <w:rFonts w:ascii="Palatino Linotype" w:hAnsi="Palatino Linotype"/>
          <w:lang w:val="en-US"/>
        </w:rPr>
        <w:t xml:space="preserve">      </w:t>
      </w:r>
    </w:p>
  </w:footnote>
  <w:footnote w:id="11">
    <w:p w:rsidR="00FF4824" w:rsidRPr="005C5794" w:rsidRDefault="00FF4824" w:rsidP="00FF4824">
      <w:pPr>
        <w:pStyle w:val="a7"/>
        <w:rPr>
          <w:rFonts w:ascii="Palatino Linotype" w:hAnsi="Palatino Linotype"/>
          <w:lang w:val="en-US"/>
        </w:rPr>
      </w:pPr>
      <w:r w:rsidRPr="005C5794">
        <w:rPr>
          <w:rStyle w:val="a9"/>
          <w:rFonts w:ascii="Palatino Linotype" w:hAnsi="Palatino Linotype"/>
        </w:rPr>
        <w:footnoteRef/>
      </w:r>
      <w:r w:rsidRPr="005C5794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Davis, S. The decipherment of Linear A, </w:t>
      </w:r>
      <w:r w:rsidRPr="00ED12E6">
        <w:rPr>
          <w:rFonts w:ascii="Palatino Linotype" w:hAnsi="Palatino Linotype"/>
          <w:i/>
          <w:lang w:val="en-US"/>
        </w:rPr>
        <w:t>Studi Micenei ed Egeo-Anatolici</w:t>
      </w:r>
      <w:r>
        <w:rPr>
          <w:rFonts w:ascii="Palatino Linotype" w:hAnsi="Palatino Linotype"/>
          <w:lang w:val="en-US"/>
        </w:rPr>
        <w:t>,</w:t>
      </w:r>
      <w:r w:rsidRPr="00ED12E6">
        <w:rPr>
          <w:rFonts w:ascii="Palatino Linotype" w:hAnsi="Palatino Linotype"/>
          <w:lang w:val="en-US"/>
        </w:rPr>
        <w:t xml:space="preserve"> 1968</w:t>
      </w:r>
      <w:r>
        <w:rPr>
          <w:rFonts w:ascii="Palatino Linotype" w:hAnsi="Palatino Linotype"/>
          <w:lang w:val="en-US"/>
        </w:rPr>
        <w:t>,</w:t>
      </w:r>
      <w:r w:rsidRPr="00ED12E6">
        <w:rPr>
          <w:rFonts w:ascii="Palatino Linotype" w:hAnsi="Palatino Linotype"/>
          <w:lang w:val="en-US"/>
        </w:rPr>
        <w:t xml:space="preserve"> 6</w:t>
      </w:r>
      <w:r>
        <w:rPr>
          <w:rFonts w:ascii="Palatino Linotype" w:hAnsi="Palatino Linotype"/>
          <w:lang w:val="en-US"/>
        </w:rPr>
        <w:t xml:space="preserve">.   </w:t>
      </w:r>
    </w:p>
  </w:footnote>
  <w:footnote w:id="12">
    <w:p w:rsidR="00FF4824" w:rsidRPr="00C92B15" w:rsidRDefault="00FF4824" w:rsidP="00FF4824">
      <w:pPr>
        <w:pStyle w:val="a7"/>
        <w:rPr>
          <w:rFonts w:ascii="Palatino Linotype" w:hAnsi="Palatino Linotype"/>
          <w:lang w:val="en-US"/>
        </w:rPr>
      </w:pPr>
      <w:r w:rsidRPr="00C92B15">
        <w:rPr>
          <w:rStyle w:val="a9"/>
          <w:rFonts w:ascii="Palatino Linotype" w:hAnsi="Palatino Linotype"/>
        </w:rPr>
        <w:footnoteRef/>
      </w:r>
      <w:r w:rsidRPr="00C92B15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>Herodot. 1.173.</w:t>
      </w:r>
    </w:p>
  </w:footnote>
  <w:footnote w:id="13">
    <w:p w:rsidR="00FF4824" w:rsidRPr="003A6219" w:rsidRDefault="00FF4824" w:rsidP="00FF4824">
      <w:pPr>
        <w:pStyle w:val="a7"/>
        <w:jc w:val="both"/>
        <w:rPr>
          <w:rFonts w:ascii="Palatino Linotype" w:hAnsi="Palatino Linotype"/>
          <w:lang w:val="en-US"/>
        </w:rPr>
      </w:pPr>
      <w:r w:rsidRPr="00C92B15">
        <w:rPr>
          <w:rStyle w:val="a9"/>
          <w:rFonts w:ascii="Palatino Linotype" w:hAnsi="Palatino Linotype"/>
        </w:rPr>
        <w:footnoteRef/>
      </w:r>
      <w:r w:rsidRPr="00C92B15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Duhoux, Y. La langue du linéaire A est-elle anatolienne? M. Mazoyer, O. Casabone (éd.). </w:t>
      </w:r>
      <w:r>
        <w:rPr>
          <w:rFonts w:ascii="Palatino Linotype" w:hAnsi="Palatino Linotype"/>
          <w:i/>
          <w:lang w:val="en-US"/>
        </w:rPr>
        <w:t>Antiquus Oriens</w:t>
      </w:r>
      <w:r>
        <w:rPr>
          <w:rFonts w:ascii="Palatino Linotype" w:hAnsi="Palatino Linotype"/>
          <w:lang w:val="en-US"/>
        </w:rPr>
        <w:t xml:space="preserve"> (Paris, 2004), Vol. I, pp. 214–215.   </w:t>
      </w:r>
    </w:p>
  </w:footnote>
  <w:footnote w:id="14">
    <w:p w:rsidR="00FF4824" w:rsidRPr="00A1109E" w:rsidRDefault="00FF4824" w:rsidP="00FF4824">
      <w:pPr>
        <w:pStyle w:val="a7"/>
        <w:rPr>
          <w:rFonts w:ascii="Palatino Linotype" w:hAnsi="Palatino Linotype"/>
          <w:lang w:val="en-US"/>
        </w:rPr>
      </w:pPr>
      <w:r w:rsidRPr="00A1109E">
        <w:rPr>
          <w:rStyle w:val="a9"/>
          <w:rFonts w:ascii="Palatino Linotype" w:hAnsi="Palatino Linotype"/>
        </w:rPr>
        <w:footnoteRef/>
      </w:r>
      <w:r w:rsidRPr="00A1109E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Yakubovič, I. </w:t>
      </w:r>
      <w:r w:rsidRPr="00A1109E">
        <w:rPr>
          <w:rFonts w:ascii="Palatino Linotype" w:hAnsi="Palatino Linotype"/>
          <w:i/>
          <w:lang w:val="en-US"/>
        </w:rPr>
        <w:t>Sociolinguistics of the Luvian language</w:t>
      </w:r>
      <w:r>
        <w:rPr>
          <w:rFonts w:ascii="Palatino Linotype" w:hAnsi="Palatino Linotype"/>
          <w:lang w:val="en-US"/>
        </w:rPr>
        <w:t xml:space="preserve"> (2008), p. 12. 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4824"/>
    <w:rsid w:val="0001302C"/>
    <w:rsid w:val="00466C9B"/>
    <w:rsid w:val="006155A8"/>
    <w:rsid w:val="006F749D"/>
    <w:rsid w:val="00775CBC"/>
    <w:rsid w:val="00814CC1"/>
    <w:rsid w:val="00A02F51"/>
    <w:rsid w:val="00FF4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824"/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6155A8"/>
    <w:pPr>
      <w:keepNext/>
      <w:ind w:firstLine="540"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rsid w:val="006155A8"/>
    <w:pPr>
      <w:keepNext/>
      <w:ind w:firstLine="540"/>
      <w:jc w:val="both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rsid w:val="006155A8"/>
    <w:pPr>
      <w:keepNext/>
      <w:ind w:firstLine="540"/>
      <w:jc w:val="both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6155A8"/>
    <w:pPr>
      <w:keepNext/>
      <w:ind w:firstLine="540"/>
      <w:outlineLvl w:val="3"/>
    </w:pPr>
    <w:rPr>
      <w:b/>
      <w:bCs/>
      <w:lang w:val="uk-UA"/>
    </w:rPr>
  </w:style>
  <w:style w:type="paragraph" w:styleId="5">
    <w:name w:val="heading 5"/>
    <w:basedOn w:val="a"/>
    <w:next w:val="a"/>
    <w:link w:val="50"/>
    <w:qFormat/>
    <w:rsid w:val="006155A8"/>
    <w:pPr>
      <w:keepNext/>
      <w:ind w:firstLine="570"/>
      <w:jc w:val="center"/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rsid w:val="006155A8"/>
    <w:pPr>
      <w:keepNext/>
      <w:ind w:firstLine="570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6155A8"/>
    <w:pPr>
      <w:keepNext/>
      <w:outlineLvl w:val="6"/>
    </w:pPr>
    <w:rPr>
      <w:b/>
      <w:bCs/>
      <w:sz w:val="32"/>
    </w:rPr>
  </w:style>
  <w:style w:type="paragraph" w:styleId="8">
    <w:name w:val="heading 8"/>
    <w:basedOn w:val="a"/>
    <w:next w:val="a"/>
    <w:link w:val="80"/>
    <w:qFormat/>
    <w:rsid w:val="006155A8"/>
    <w:pPr>
      <w:keepNext/>
      <w:jc w:val="center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6155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155A8"/>
    <w:rPr>
      <w:b/>
      <w:bCs/>
      <w:sz w:val="28"/>
      <w:szCs w:val="24"/>
    </w:rPr>
  </w:style>
  <w:style w:type="character" w:customStyle="1" w:styleId="20">
    <w:name w:val="Заголовок 2 Знак"/>
    <w:basedOn w:val="a0"/>
    <w:link w:val="2"/>
    <w:rsid w:val="006155A8"/>
    <w:rPr>
      <w:b/>
      <w:bCs/>
      <w:sz w:val="28"/>
      <w:szCs w:val="24"/>
    </w:rPr>
  </w:style>
  <w:style w:type="character" w:customStyle="1" w:styleId="30">
    <w:name w:val="Заголовок 3 Знак"/>
    <w:basedOn w:val="a0"/>
    <w:link w:val="3"/>
    <w:rsid w:val="006155A8"/>
    <w:rPr>
      <w:b/>
      <w:bCs/>
      <w:sz w:val="28"/>
      <w:szCs w:val="24"/>
    </w:rPr>
  </w:style>
  <w:style w:type="character" w:customStyle="1" w:styleId="40">
    <w:name w:val="Заголовок 4 Знак"/>
    <w:basedOn w:val="a0"/>
    <w:link w:val="4"/>
    <w:rsid w:val="006155A8"/>
    <w:rPr>
      <w:b/>
      <w:bCs/>
      <w:sz w:val="28"/>
      <w:szCs w:val="24"/>
      <w:lang w:val="uk-UA"/>
    </w:rPr>
  </w:style>
  <w:style w:type="character" w:customStyle="1" w:styleId="50">
    <w:name w:val="Заголовок 5 Знак"/>
    <w:basedOn w:val="a0"/>
    <w:link w:val="5"/>
    <w:rsid w:val="006155A8"/>
    <w:rPr>
      <w:b/>
      <w:bCs/>
      <w:sz w:val="36"/>
      <w:szCs w:val="24"/>
    </w:rPr>
  </w:style>
  <w:style w:type="character" w:customStyle="1" w:styleId="60">
    <w:name w:val="Заголовок 6 Знак"/>
    <w:basedOn w:val="a0"/>
    <w:link w:val="6"/>
    <w:rsid w:val="006155A8"/>
    <w:rPr>
      <w:b/>
      <w:bCs/>
      <w:sz w:val="28"/>
      <w:szCs w:val="24"/>
    </w:rPr>
  </w:style>
  <w:style w:type="character" w:customStyle="1" w:styleId="70">
    <w:name w:val="Заголовок 7 Знак"/>
    <w:basedOn w:val="a0"/>
    <w:link w:val="7"/>
    <w:rsid w:val="006155A8"/>
    <w:rPr>
      <w:b/>
      <w:bCs/>
      <w:sz w:val="32"/>
      <w:szCs w:val="24"/>
    </w:rPr>
  </w:style>
  <w:style w:type="character" w:customStyle="1" w:styleId="80">
    <w:name w:val="Заголовок 8 Знак"/>
    <w:link w:val="8"/>
    <w:rsid w:val="006155A8"/>
    <w:rPr>
      <w:b/>
      <w:bCs/>
      <w:sz w:val="28"/>
      <w:szCs w:val="24"/>
    </w:rPr>
  </w:style>
  <w:style w:type="character" w:customStyle="1" w:styleId="90">
    <w:name w:val="Заголовок 9 Знак"/>
    <w:basedOn w:val="a0"/>
    <w:link w:val="9"/>
    <w:rsid w:val="006155A8"/>
    <w:rPr>
      <w:rFonts w:ascii="Arial" w:hAnsi="Arial" w:cs="Arial"/>
      <w:sz w:val="22"/>
      <w:szCs w:val="22"/>
    </w:rPr>
  </w:style>
  <w:style w:type="paragraph" w:styleId="a3">
    <w:name w:val="Title"/>
    <w:basedOn w:val="a"/>
    <w:link w:val="a4"/>
    <w:qFormat/>
    <w:rsid w:val="006155A8"/>
    <w:pPr>
      <w:jc w:val="center"/>
    </w:pPr>
    <w:rPr>
      <w:b/>
      <w:bCs/>
      <w:i/>
      <w:iCs/>
      <w:u w:val="single"/>
    </w:rPr>
  </w:style>
  <w:style w:type="character" w:customStyle="1" w:styleId="a4">
    <w:name w:val="Название Знак"/>
    <w:basedOn w:val="a0"/>
    <w:link w:val="a3"/>
    <w:rsid w:val="006155A8"/>
    <w:rPr>
      <w:b/>
      <w:bCs/>
      <w:i/>
      <w:iCs/>
      <w:sz w:val="28"/>
      <w:szCs w:val="24"/>
      <w:u w:val="single"/>
    </w:rPr>
  </w:style>
  <w:style w:type="paragraph" w:styleId="a5">
    <w:name w:val="List Paragraph"/>
    <w:basedOn w:val="a"/>
    <w:uiPriority w:val="34"/>
    <w:qFormat/>
    <w:rsid w:val="006155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Текст сноски Знак"/>
    <w:basedOn w:val="a0"/>
    <w:link w:val="a7"/>
    <w:semiHidden/>
    <w:rsid w:val="00FF4824"/>
    <w:rPr>
      <w:rFonts w:ascii="Calibri" w:hAnsi="Calibri"/>
      <w:lang w:eastAsia="en-US"/>
    </w:rPr>
  </w:style>
  <w:style w:type="paragraph" w:styleId="a7">
    <w:name w:val="footnote text"/>
    <w:basedOn w:val="a"/>
    <w:link w:val="a6"/>
    <w:semiHidden/>
    <w:rsid w:val="00FF4824"/>
    <w:rPr>
      <w:rFonts w:ascii="Calibri" w:hAnsi="Calibri"/>
      <w:sz w:val="20"/>
      <w:szCs w:val="20"/>
      <w:lang w:eastAsia="en-US"/>
    </w:rPr>
  </w:style>
  <w:style w:type="character" w:customStyle="1" w:styleId="11">
    <w:name w:val="Текст сноски Знак1"/>
    <w:basedOn w:val="a0"/>
    <w:link w:val="a7"/>
    <w:uiPriority w:val="99"/>
    <w:semiHidden/>
    <w:rsid w:val="00FF4824"/>
  </w:style>
  <w:style w:type="character" w:styleId="a8">
    <w:name w:val="Hyperlink"/>
    <w:basedOn w:val="a0"/>
    <w:uiPriority w:val="99"/>
    <w:unhideWhenUsed/>
    <w:rsid w:val="00FF4824"/>
    <w:rPr>
      <w:color w:val="0000FF"/>
      <w:u w:val="single"/>
    </w:rPr>
  </w:style>
  <w:style w:type="character" w:styleId="a9">
    <w:name w:val="footnote reference"/>
    <w:basedOn w:val="a0"/>
    <w:semiHidden/>
    <w:rsid w:val="00FF4824"/>
    <w:rPr>
      <w:rFonts w:cs="Times New Roman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andfonline.com/doi/pdf/10.1080/00437956.1959.11659701" TargetMode="External"/><Relationship Id="rId2" Type="http://schemas.openxmlformats.org/officeDocument/2006/relationships/hyperlink" Target="https://onlinelibrary.wiley.com/doi/pdf/10.1111/j.1467-968X.1958.tb01273.x" TargetMode="External"/><Relationship Id="rId1" Type="http://schemas.openxmlformats.org/officeDocument/2006/relationships/hyperlink" Target="https://onlinelibrary.wiley.com/doi/pdf/10.1111/j.1467-968X.1958.tb01273.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3239</Characters>
  <Application>Microsoft Office Word</Application>
  <DocSecurity>0</DocSecurity>
  <Lines>26</Lines>
  <Paragraphs>7</Paragraphs>
  <ScaleCrop>false</ScaleCrop>
  <Company>*</Company>
  <LinksUpToDate>false</LinksUpToDate>
  <CharactersWithSpaces>3800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Mova</dc:creator>
  <cp:keywords/>
  <dc:description/>
  <cp:lastModifiedBy>Mova</cp:lastModifiedBy>
  <cp:revision>2</cp:revision>
  <dcterms:created xsi:type="dcterms:W3CDTF">2018-09-05T07:08:00Z</dcterms:created>
  <dcterms:modified xsi:type="dcterms:W3CDTF">2018-09-05T07:18:00Z</dcterms:modified>
</cp:coreProperties>
</file>