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color w:val="2F5496" w:themeColor="accent1" w:themeShade="BF"/>
          <w:sz w:val="52"/>
          <w:szCs w:val="52"/>
        </w:rPr>
      </w:pPr>
      <w:r>
        <w:rPr>
          <w:color w:val="2F5496" w:themeColor="accent1" w:themeShade="BF"/>
          <w:sz w:val="32"/>
          <w:szCs w:val="32"/>
        </w:rPr>
        <w:lastRenderedPageBreak/>
        <w:t>Organizational Information</w:t>
      </w:r>
    </w:p>
    <w:p>
      <w:pPr>
        <w:rPr>
          <w:color w:val="2F5496" w:themeColor="accent1" w:themeShade="BF"/>
          <w:sz w:val="24"/>
          <w:szCs w:val="24"/>
        </w:rPr>
      </w:pPr>
      <w:r>
        <w:rPr>
          <w:noProof/>
        </w:rPr>
        <w:drawing>
          <wp:anchor distT="0" distB="0" distL="114300" distR="114300" simplePos="0" relativeHeight="251658240" behindDoc="0" locked="0" layoutInCell="1" allowOverlap="1">
            <wp:simplePos x="0" y="0"/>
            <wp:positionH relativeFrom="column">
              <wp:posOffset>-127097</wp:posOffset>
            </wp:positionH>
            <wp:positionV relativeFrom="paragraph">
              <wp:posOffset>1129372</wp:posOffset>
            </wp:positionV>
            <wp:extent cx="3367405" cy="25908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7405" cy="259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w:t>
                            </w:r>
                            <w:proofErr w:type="gramStart"/>
                            <w:r>
                              <w:rPr>
                                <w:szCs w:val="24"/>
                                <w:lang w:val="es-ES"/>
                              </w:rPr>
                              <w:t>Ponent ,</w:t>
                            </w:r>
                            <w:proofErr w:type="gramEnd"/>
                            <w:r>
                              <w:rPr>
                                <w:szCs w:val="24"/>
                                <w:lang w:val="es-ES"/>
                              </w:rPr>
                              <w:t xml:space="preserve"> C: Central, D: </w:t>
                            </w:r>
                            <w:proofErr w:type="spellStart"/>
                            <w:r>
                              <w:rPr>
                                <w:szCs w:val="24"/>
                                <w:lang w:val="es-ES"/>
                              </w:rPr>
                              <w:t>Ebre</w:t>
                            </w:r>
                            <w:proofErr w:type="spellEnd"/>
                            <w:r>
                              <w:rPr>
                                <w:szCs w:val="24"/>
                                <w:lang w:val="es-ES"/>
                              </w:rPr>
                              <w:t xml:space="preserve">, E: Tarragona, F: Metropolitana, G: Metropolitana Nord, H: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w:t>
                      </w:r>
                      <w:proofErr w:type="gramStart"/>
                      <w:r>
                        <w:rPr>
                          <w:szCs w:val="24"/>
                          <w:lang w:val="es-ES"/>
                        </w:rPr>
                        <w:t>Ponent ,</w:t>
                      </w:r>
                      <w:proofErr w:type="gramEnd"/>
                      <w:r>
                        <w:rPr>
                          <w:szCs w:val="24"/>
                          <w:lang w:val="es-ES"/>
                        </w:rPr>
                        <w:t xml:space="preserve"> C: Central, D: </w:t>
                      </w:r>
                      <w:proofErr w:type="spellStart"/>
                      <w:r>
                        <w:rPr>
                          <w:szCs w:val="24"/>
                          <w:lang w:val="es-ES"/>
                        </w:rPr>
                        <w:t>Ebre</w:t>
                      </w:r>
                      <w:proofErr w:type="spellEnd"/>
                      <w:r>
                        <w:rPr>
                          <w:szCs w:val="24"/>
                          <w:lang w:val="es-ES"/>
                        </w:rPr>
                        <w:t xml:space="preserve">, E: Tarragona, F: Metropolitana, G: Metropolitana Nord, H: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4589145</wp:posOffset>
            </wp:positionV>
            <wp:extent cx="4745355" cy="20332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4745355" cy="20332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amount of police stations and police personal assigned to that region. Not surprisingly a strong correlation exists between amount of population in a territory and number of police officials.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r>
        <w:rPr>
          <w:sz w:val="24"/>
          <w:szCs w:val="24"/>
        </w:rPr>
        <w:t>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w:t>
      </w:r>
    </w:p>
    <w:p>
      <w:pPr>
        <w:jc w:val="both"/>
        <w:rPr>
          <w:sz w:val="24"/>
          <w:szCs w:val="24"/>
        </w:rPr>
      </w:pPr>
    </w:p>
    <w:p>
      <w:pPr>
        <w:jc w:val="both"/>
        <w:rPr>
          <w:sz w:val="24"/>
          <w:szCs w:val="24"/>
        </w:rPr>
      </w:pPr>
      <w:bookmarkStart w:id="0" w:name="_GoBack"/>
      <w:bookmarkEnd w:id="0"/>
    </w:p>
    <w:p>
      <w:pPr>
        <w:jc w:val="both"/>
        <w:rPr>
          <w:sz w:val="24"/>
          <w:szCs w:val="24"/>
        </w:rPr>
      </w:pP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w:t>
      </w:r>
    </w:p>
    <w:p>
      <w:pPr>
        <w:jc w:val="both"/>
        <w:rPr>
          <w:sz w:val="24"/>
          <w:szCs w:val="24"/>
        </w:rPr>
      </w:pPr>
    </w:p>
    <w:p>
      <w:pPr>
        <w:jc w:val="both"/>
        <w:rPr>
          <w:sz w:val="24"/>
          <w:szCs w:val="24"/>
        </w:rPr>
      </w:pPr>
    </w:p>
    <w:p>
      <w:pPr>
        <w:jc w:val="both"/>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lastRenderedPageBreak/>
        <w:t xml:space="preserve">[1] </w:t>
      </w:r>
      <w:hyperlink r:id="rId8"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9"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3DE5"/>
    <w:multiLevelType w:val="hybridMultilevel"/>
    <w:tmpl w:val="A1CEEE58"/>
    <w:lvl w:ilvl="0" w:tplc="64048D06">
      <w:start w:val="1"/>
      <w:numFmt w:val="decimal"/>
      <w:lvlText w:val="%1."/>
      <w:lvlJc w:val="left"/>
      <w:pPr>
        <w:ind w:left="720" w:hanging="72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wikipedia.org/wiki/%C3%80rea_B%C3%A0sica_Polici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ssos.gencat.cat/.content/home/dadesobertes/comissaries/index.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19</cp:revision>
  <dcterms:created xsi:type="dcterms:W3CDTF">2023-11-14T13:52:00Z</dcterms:created>
  <dcterms:modified xsi:type="dcterms:W3CDTF">2023-11-16T16:01:00Z</dcterms:modified>
</cp:coreProperties>
</file>