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2761"/>
          <w:sz w:val="32"/>
          <w:szCs w:val="32"/>
        </w:rPr>
        <w:t xml:space="preserve">Agente de IA para Conhecimento e Fluxo de Engenharia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Integração MCP com Jira e Confluence  ·  Tribo Veículos  ·  Leonardo Navarro</w:t>
      </w:r>
    </w:p>
    <w:p>
      <w:pPr>
        <w:spacing w:after="120"/>
      </w:pPr>
      <w:r>
        <w:rPr>
          <w:b/>
          <w:bCs/>
        </w:rPr>
        <w:t xml:space="preserve">O que é: </w:t>
      </w:r>
      <w:r>
        <w:t xml:space="preserve">um agente de IA que lê o conhecimento institucional, gera documentação padronizada e opera o fluxo de trabalho, integrado ao Jira e Confluence on-prem via protocolo MCP (Model Context Protocol) no GitHub Copilot agent mode.</w:t>
      </w:r>
    </w:p>
    <w:p>
      <w:pPr>
        <w:spacing w:after="120"/>
      </w:pPr>
      <w:r>
        <w:rPr>
          <w:b/>
          <w:bCs/>
        </w:rPr>
        <w:t xml:space="preserve">Por que não alucina: </w:t>
      </w:r>
      <w:r>
        <w:t xml:space="preserve">a geração é ancorada em SDD (Specification-Driven Development). Todo o sistema está descrito em especificações, design e propostas versionadas; o agente gera a partir do código e dos artefatos reais, não inventa. Output passa por revisão humana antes de publicar.</w:t>
      </w:r>
    </w:p>
    <w:p>
      <w:pPr>
        <w:pStyle w:val="Heading1"/>
      </w:pPr>
      <w:r>
        <w:t xml:space="preserve">Casos de uso entregues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300"/>
        <w:gridCol w:w="19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entregue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Manual vs. Agente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Geração de documentação estruturada no Confluence (visão geral, C4, fluxo E2E, ADRs, banco, troubleshooting, validação de carga, contratos de integração)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Transforma conhecimento tácito em ativo versionado e padronizado. Documentação é dor crônica: ninguém faz, todos precisam.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[XX] dias → ~horas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 de fluxo no Jira: criação de sub-blocks em histórias bloqueadas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Aumenta visibilidade de impedimentos. Ganho direto de gestão de fluxo, não só de engenharia.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[XX] min → segundos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Descoberta de ownership: dono, rota, cluster, tribo, contatos (CPO/TTL/TA) de qualquer serviço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 o 'quem é dono disso e com quem falo' clássico de banco grande.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[XX] horas → ~10 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Onboarding/autonomia: respostas a dúvidas processuais (ex.: acesso ao portal Azure)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Reduz dependência de sênior pra dúvidas de processo.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[XX] min → segundos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Movimentação de cards, contextualização de tarefas e busca de interdependências no Jira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Cobre o ciclo completo: lê, escreve, move e conecta.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[XX] min → segundos</w:t>
            </w:r>
          </w:p>
        </w:tc>
      </w:tr>
    </w:tbl>
    <w:p>
      <w:pPr>
        <w:pStyle w:val="Heading1"/>
      </w:pPr>
      <w:r>
        <w:t xml:space="preserve">Governança: do protótipo à produção</w:t>
      </w:r>
    </w:p>
    <w:p>
      <w:pPr>
        <w:spacing w:after="120"/>
      </w:pPr>
      <w:r>
        <w:rPr>
          <w:b/>
          <w:bCs/>
        </w:rPr>
        <w:t xml:space="preserve">Postura: </w:t>
      </w:r>
      <w:r>
        <w:t xml:space="preserve">o protótipo atual usa um workaround local não homologável, criado apenas para validar a hipótese. Não proponho levá-lo a produção. Proponho substituí-lo pelo caminho oficial abaixo, que já é nativamente suportado pelos servidores.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0"/>
        <w:gridCol w:w="4540"/>
      </w:tblGrid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 do protótipo atual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Solução homologável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Credencial pessoal no fluxo (senha no Windows Credential Manager, login Seraph automatizado)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account dedicada + PAT com escopo de leitura. Revogável sem trocar senha.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Bypass do rate limit (proxy se passando por browser)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Cota oficial de API por usuário/service account. O limite é per-user e ajustável: existe meio-termo aprovado.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Sessão de browser simulada (frágil, quebra a cada mudança de política)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 nativo via header Bearer. Elimina cookie-renew e login Seraph. Servidores já têm PAT habilitado.</w:t>
            </w:r>
          </w:p>
        </w:tc>
      </w:tr>
      <w:tr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trilha de auditoria nem isolamento</w:t>
            </w:r>
          </w:p>
        </w:tc>
        <w:tc>
          <w:tcPr>
            <w:tcW w:type="dxa" w:w="4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lista e revoga todos os tokens; acesso rastreável pela identidade da service account.</w:t>
            </w:r>
          </w:p>
        </w:tc>
      </w:tr>
    </w:tbl>
    <w:p>
      <w:pPr>
        <w:pStyle w:val="Heading1"/>
      </w:pPr>
      <w:r>
        <w:t xml:space="preserve">Pedido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Identidade de serviço: </w:t>
      </w:r>
      <w:r>
        <w:t xml:space="preserve">Service account dedicada à integração, com escopo mínimo de leitura.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Autenticação: </w:t>
      </w:r>
      <w:r>
        <w:t xml:space="preserve">PAT nativo (Jira 8.14+ / Confluence 7.9+, já habilitado) em vez de sessão simulada.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Throttling: </w:t>
      </w:r>
      <w:r>
        <w:t xml:space="preserve">Cota de API aprovada para a service account, resolvendo o rate limit sem contorno.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Patrocínio: </w:t>
      </w:r>
      <w:r>
        <w:t xml:space="preserve">Sponsor de IA (COE) para validar a abordagem e abrir caminho de homologação.</w:t>
      </w:r>
    </w:p>
    <w:p>
      <w:pPr>
        <w:spacing w:before="200"/>
      </w:pPr>
      <w:r>
        <w:rPr>
          <w:i/>
          <w:iCs/>
          <w:color w:val="028090"/>
          <w:sz w:val="20"/>
          <w:szCs w:val="20"/>
        </w:rPr>
        <w:t xml:space="preserve">Diferencial: não é 'plugar IA'. É IA aplicada com guardrails de SDD, consciência de governança e caminho de produção mapeado.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2761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028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2026-06-26T20:57:08.596Z</dcterms:created>
  <dcterms:modified xsi:type="dcterms:W3CDTF">2026-06-26T20:57:08.596Z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