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5E5EB" w14:textId="77777777" w:rsidR="00E11B68" w:rsidRPr="00FF4B81" w:rsidRDefault="00E11B68" w:rsidP="00E11B68">
      <w:pPr>
        <w:rPr>
          <w:b/>
          <w:bCs/>
          <w:sz w:val="22"/>
          <w:szCs w:val="22"/>
        </w:rPr>
      </w:pPr>
      <w:r w:rsidRPr="00FF4B81">
        <w:rPr>
          <w:b/>
          <w:bCs/>
          <w:sz w:val="22"/>
          <w:szCs w:val="22"/>
        </w:rPr>
        <w:t>800-Word Ethical Analysis — Fairness and Bias in Healthcare Prediction</w:t>
      </w:r>
    </w:p>
    <w:p w14:paraId="08723FCE" w14:textId="77777777" w:rsidR="00E11B68" w:rsidRPr="00FF4B81" w:rsidRDefault="00E11B68" w:rsidP="00E11B68">
      <w:pPr>
        <w:rPr>
          <w:sz w:val="22"/>
          <w:szCs w:val="22"/>
        </w:rPr>
      </w:pPr>
      <w:r w:rsidRPr="00FF4B81">
        <w:rPr>
          <w:sz w:val="22"/>
          <w:szCs w:val="22"/>
        </w:rPr>
        <w:t>Working with prediction models in healthcare always brings up questions about fairness. When the goal is to identify diabetes risk, the stakes feel even higher because a wrong call can affect someone’s long-term health. The dataset we used included medical measurements, lifestyle details and family history. As we built the model, we tried to look beyond accuracy and think through how the data and modelling choices might influence fairness or lead to uneven outcomes.</w:t>
      </w:r>
    </w:p>
    <w:p w14:paraId="22067BD5" w14:textId="77777777" w:rsidR="00E11B68" w:rsidRPr="00FF4B81" w:rsidRDefault="00E11B68" w:rsidP="00E11B68">
      <w:pPr>
        <w:rPr>
          <w:sz w:val="22"/>
          <w:szCs w:val="22"/>
        </w:rPr>
      </w:pPr>
    </w:p>
    <w:p w14:paraId="6DC9647B" w14:textId="77777777" w:rsidR="00E11B68" w:rsidRPr="00FF4B81" w:rsidRDefault="00E11B68" w:rsidP="00E11B68">
      <w:pPr>
        <w:rPr>
          <w:sz w:val="22"/>
          <w:szCs w:val="22"/>
        </w:rPr>
      </w:pPr>
      <w:r w:rsidRPr="00FF4B81">
        <w:rPr>
          <w:sz w:val="22"/>
          <w:szCs w:val="22"/>
        </w:rPr>
        <w:t>One of the first things we noticed was the risk of representation problems. A model doesn’t “think” about people; it simply copies the patterns it’s given. Our dataset had the usual clinical features like age, BMI, glucose levels and blood pressure. What it didn’t have was information about ethnicity, gender or socioeconomic background. At a glance, this might look like a neutral setup, but it can unintentionally hide deeper inequalities. Diabetes risk isn’t the same for every demographic group, and if certain groups aren’t properly represented, the predictions for them can be less reliable. Even when a sensitive attribute isn’t included, something else can act as a stand-in. BMI, for example, sometimes reflects demographic trends. To avoid training a model that only works well for part of the population, we spent time studying the shape of the data: checking ranges, spotting unusual values and looking for gaps.</w:t>
      </w:r>
    </w:p>
    <w:p w14:paraId="6220B52C" w14:textId="77777777" w:rsidR="00E11B68" w:rsidRPr="00FF4B81" w:rsidRDefault="00E11B68" w:rsidP="00E11B68">
      <w:pPr>
        <w:rPr>
          <w:sz w:val="22"/>
          <w:szCs w:val="22"/>
        </w:rPr>
      </w:pPr>
    </w:p>
    <w:p w14:paraId="1BD347CE" w14:textId="77777777" w:rsidR="00E11B68" w:rsidRPr="00FF4B81" w:rsidRDefault="00E11B68" w:rsidP="00E11B68">
      <w:pPr>
        <w:rPr>
          <w:sz w:val="22"/>
          <w:szCs w:val="22"/>
        </w:rPr>
      </w:pPr>
      <w:r w:rsidRPr="00FF4B81">
        <w:rPr>
          <w:sz w:val="22"/>
          <w:szCs w:val="22"/>
        </w:rPr>
        <w:t>Data quality turned out to be another ethical issue. Medical data isn’t always neat. Our dataset had zero values for features like glucose, insulin and blood pressure, which didn’t make sense clinically. If we fed those values straight into the model, it would learn patterns that weren’t real. So we used reasonable imputation methods and added flags to record when a value came from estimation instead of a proper measurement. This helps the model avoid treating missing data as a risk factor. It also means a clinician who sees the output can understand when the prediction is based on shaky or incomplete records.</w:t>
      </w:r>
    </w:p>
    <w:p w14:paraId="1376761E" w14:textId="77777777" w:rsidR="00E11B68" w:rsidRPr="00FF4B81" w:rsidRDefault="00E11B68" w:rsidP="00E11B68">
      <w:pPr>
        <w:rPr>
          <w:sz w:val="22"/>
          <w:szCs w:val="22"/>
        </w:rPr>
      </w:pPr>
    </w:p>
    <w:p w14:paraId="429E0CED" w14:textId="77777777" w:rsidR="00E11B68" w:rsidRPr="00FF4B81" w:rsidRDefault="00E11B68" w:rsidP="00E11B68">
      <w:pPr>
        <w:rPr>
          <w:sz w:val="22"/>
          <w:szCs w:val="22"/>
        </w:rPr>
      </w:pPr>
      <w:r w:rsidRPr="00FF4B81">
        <w:rPr>
          <w:sz w:val="22"/>
          <w:szCs w:val="22"/>
        </w:rPr>
        <w:t>The consequences of prediction errors aren’t equal either. A false negative can cause the most harm because it tells someone they’re not at risk when they are. That could delay treatment or screening. A false positive is stressful, but it usually leads to extra tests rather than long-term danger. Because of this difference, we examined misclassifications closely. Logistic regression helped reveal when the model tended to miss positive cases. Many of these happened when glucose levels were near the threshold or when someone had a mix of mild risk factors that, together, still suggested elevated risk. To reduce these problems, we created a few engineered features that reflect how doctors often think, such as combining glucose with BMI or looking at patterns tied to insulin resistance.</w:t>
      </w:r>
    </w:p>
    <w:p w14:paraId="4462CA7F" w14:textId="77777777" w:rsidR="00E11B68" w:rsidRPr="00FF4B81" w:rsidRDefault="00E11B68" w:rsidP="00E11B68">
      <w:pPr>
        <w:rPr>
          <w:sz w:val="22"/>
          <w:szCs w:val="22"/>
        </w:rPr>
      </w:pPr>
    </w:p>
    <w:p w14:paraId="1CFF4148" w14:textId="77777777" w:rsidR="00E11B68" w:rsidRPr="00FF4B81" w:rsidRDefault="00E11B68" w:rsidP="00E11B68">
      <w:pPr>
        <w:rPr>
          <w:sz w:val="22"/>
          <w:szCs w:val="22"/>
        </w:rPr>
      </w:pPr>
      <w:r w:rsidRPr="00FF4B81">
        <w:rPr>
          <w:sz w:val="22"/>
          <w:szCs w:val="22"/>
        </w:rPr>
        <w:lastRenderedPageBreak/>
        <w:t>Threshold tuning became important too. Sticking with the default 0.5 threshold didn’t make sense in a medical setting. Lowering the threshold can improve recall, which means fewer false negatives, but also increases false positives. For early screening, catching as many true cases as possible matters more. We tested different thresholds on models like XGBoost and HistGradientBoosting and found points where recall reached 1.0. This obviously increases false alarms, but if the priority is avoiding missed diagnoses, the trade-off can be acceptable.</w:t>
      </w:r>
    </w:p>
    <w:p w14:paraId="07782427" w14:textId="77777777" w:rsidR="00E11B68" w:rsidRPr="00FF4B81" w:rsidRDefault="00E11B68" w:rsidP="00E11B68">
      <w:pPr>
        <w:rPr>
          <w:sz w:val="22"/>
          <w:szCs w:val="22"/>
        </w:rPr>
      </w:pPr>
    </w:p>
    <w:p w14:paraId="270F9A1A" w14:textId="77777777" w:rsidR="00E11B68" w:rsidRPr="00FF4B81" w:rsidRDefault="00E11B68" w:rsidP="00E11B68">
      <w:pPr>
        <w:rPr>
          <w:sz w:val="22"/>
          <w:szCs w:val="22"/>
        </w:rPr>
      </w:pPr>
      <w:r w:rsidRPr="00FF4B81">
        <w:rPr>
          <w:sz w:val="22"/>
          <w:szCs w:val="22"/>
        </w:rPr>
        <w:t>That said, false positives don’t hit everyone the same way. Someone who has easy access to healthcare may not mind an extra test, but someone without consistent access might face more stress, cost or logistical barriers. Because our dataset didn’t include demographic fields, we couldn’t measure which groups would carry more of this burden. But acknowledging that limitation is part of building a responsible system. Any real-world version of this model would need to be tested on diverse populations before being used in practice.</w:t>
      </w:r>
    </w:p>
    <w:p w14:paraId="1C979830" w14:textId="77777777" w:rsidR="00E11B68" w:rsidRPr="00FF4B81" w:rsidRDefault="00E11B68" w:rsidP="00E11B68">
      <w:pPr>
        <w:rPr>
          <w:sz w:val="22"/>
          <w:szCs w:val="22"/>
        </w:rPr>
      </w:pPr>
    </w:p>
    <w:p w14:paraId="7EB61A83" w14:textId="77777777" w:rsidR="00E11B68" w:rsidRPr="00FF4B81" w:rsidRDefault="00E11B68" w:rsidP="00E11B68">
      <w:pPr>
        <w:rPr>
          <w:sz w:val="22"/>
          <w:szCs w:val="22"/>
        </w:rPr>
      </w:pPr>
      <w:r w:rsidRPr="00FF4B81">
        <w:rPr>
          <w:sz w:val="22"/>
          <w:szCs w:val="22"/>
        </w:rPr>
        <w:t>Another topic we looked at was how understandable the model is. Clinicians often feel more confident using a model when they can tell what influenced the result. Complex models like XGBoost perform well but don’t always offer clear explanations. To address this, we reviewed feature importance, studied logistic regression coefficients and created simple risk-score style features that clinicians could interpret without needing to decode a complicated tree structure. This helps increase trust and makes the model more usable.</w:t>
      </w:r>
    </w:p>
    <w:p w14:paraId="2B2412D2" w14:textId="77777777" w:rsidR="00E11B68" w:rsidRPr="00FF4B81" w:rsidRDefault="00E11B68" w:rsidP="00E11B68">
      <w:pPr>
        <w:rPr>
          <w:sz w:val="22"/>
          <w:szCs w:val="22"/>
        </w:rPr>
      </w:pPr>
    </w:p>
    <w:p w14:paraId="21F2C640" w14:textId="77777777" w:rsidR="00E11B68" w:rsidRPr="00FF4B81" w:rsidRDefault="00E11B68" w:rsidP="00E11B68">
      <w:pPr>
        <w:rPr>
          <w:sz w:val="22"/>
          <w:szCs w:val="22"/>
        </w:rPr>
      </w:pPr>
      <w:r w:rsidRPr="00FF4B81">
        <w:rPr>
          <w:sz w:val="22"/>
          <w:szCs w:val="22"/>
        </w:rPr>
        <w:t>We also explored clustering and anomaly detection. These methods aren’t used for diagnosis, but they can uncover interesting patterns. Clustering sometimes revealed groups of patients who didn’t fit the usual metabolic profiles. Anomaly detection helped point out cases where the numbers looked odd or inconsistent, giving a hint that something might be off with the measurements themselves. These tools don’t replace the main model, but they give extra perspective that can help catch cases the supervised model might struggle with.</w:t>
      </w:r>
    </w:p>
    <w:p w14:paraId="79AC556C" w14:textId="77777777" w:rsidR="00E11B68" w:rsidRPr="00FF4B81" w:rsidRDefault="00E11B68" w:rsidP="00E11B68">
      <w:pPr>
        <w:rPr>
          <w:sz w:val="22"/>
          <w:szCs w:val="22"/>
        </w:rPr>
      </w:pPr>
    </w:p>
    <w:p w14:paraId="6355F7B5" w14:textId="77777777" w:rsidR="00E11B68" w:rsidRPr="00FF4B81" w:rsidRDefault="00E11B68" w:rsidP="00E11B68">
      <w:pPr>
        <w:rPr>
          <w:sz w:val="22"/>
          <w:szCs w:val="22"/>
        </w:rPr>
      </w:pPr>
      <w:r w:rsidRPr="00FF4B81">
        <w:rPr>
          <w:sz w:val="22"/>
          <w:szCs w:val="22"/>
        </w:rPr>
        <w:t>All of this fits into a broader idea: prediction models shouldn’t replace clinical judgment. They can be helpful, but they shouldn’t be treated as the final word. Privacy, data handling and long-term monitoring also matter, since models can drift as healthcare trends shift.</w:t>
      </w:r>
    </w:p>
    <w:p w14:paraId="740CD51C" w14:textId="77777777" w:rsidR="00E11B68" w:rsidRPr="00FF4B81" w:rsidRDefault="00E11B68" w:rsidP="00E11B68">
      <w:pPr>
        <w:rPr>
          <w:sz w:val="22"/>
          <w:szCs w:val="22"/>
        </w:rPr>
      </w:pPr>
    </w:p>
    <w:p w14:paraId="7E90807B" w14:textId="2B5884C4" w:rsidR="008006A9" w:rsidRPr="00FF4B81" w:rsidRDefault="00E11B68" w:rsidP="00E11B68">
      <w:pPr>
        <w:rPr>
          <w:sz w:val="22"/>
          <w:szCs w:val="22"/>
        </w:rPr>
      </w:pPr>
      <w:r w:rsidRPr="00FF4B81">
        <w:rPr>
          <w:sz w:val="22"/>
          <w:szCs w:val="22"/>
        </w:rPr>
        <w:t>Overall, the project encouraged us to think about fairness, data quality, interpretability and threshold choices all at once. The aim wasn’t just to hit a high accuracy score but to build something that feels safe, balanced and aligned with the realities of healthcare.</w:t>
      </w:r>
    </w:p>
    <w:sectPr w:rsidR="008006A9" w:rsidRPr="00FF4B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D95"/>
    <w:rsid w:val="001246EA"/>
    <w:rsid w:val="00187112"/>
    <w:rsid w:val="0034066B"/>
    <w:rsid w:val="0034225D"/>
    <w:rsid w:val="00497AFF"/>
    <w:rsid w:val="008006A9"/>
    <w:rsid w:val="009D2D95"/>
    <w:rsid w:val="00C126F1"/>
    <w:rsid w:val="00E11B68"/>
    <w:rsid w:val="00FF4B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43FA0"/>
  <w15:chartTrackingRefBased/>
  <w15:docId w15:val="{6FDBE7CD-DA38-4543-B197-C5127EBA8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D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2D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2D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D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D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D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D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D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D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D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2D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2D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D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D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D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D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D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D95"/>
    <w:rPr>
      <w:rFonts w:eastAsiaTheme="majorEastAsia" w:cstheme="majorBidi"/>
      <w:color w:val="272727" w:themeColor="text1" w:themeTint="D8"/>
    </w:rPr>
  </w:style>
  <w:style w:type="paragraph" w:styleId="Title">
    <w:name w:val="Title"/>
    <w:basedOn w:val="Normal"/>
    <w:next w:val="Normal"/>
    <w:link w:val="TitleChar"/>
    <w:uiPriority w:val="10"/>
    <w:qFormat/>
    <w:rsid w:val="009D2D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D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D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D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D95"/>
    <w:pPr>
      <w:spacing w:before="160"/>
      <w:jc w:val="center"/>
    </w:pPr>
    <w:rPr>
      <w:i/>
      <w:iCs/>
      <w:color w:val="404040" w:themeColor="text1" w:themeTint="BF"/>
    </w:rPr>
  </w:style>
  <w:style w:type="character" w:customStyle="1" w:styleId="QuoteChar">
    <w:name w:val="Quote Char"/>
    <w:basedOn w:val="DefaultParagraphFont"/>
    <w:link w:val="Quote"/>
    <w:uiPriority w:val="29"/>
    <w:rsid w:val="009D2D95"/>
    <w:rPr>
      <w:i/>
      <w:iCs/>
      <w:color w:val="404040" w:themeColor="text1" w:themeTint="BF"/>
    </w:rPr>
  </w:style>
  <w:style w:type="paragraph" w:styleId="ListParagraph">
    <w:name w:val="List Paragraph"/>
    <w:basedOn w:val="Normal"/>
    <w:uiPriority w:val="34"/>
    <w:qFormat/>
    <w:rsid w:val="009D2D95"/>
    <w:pPr>
      <w:ind w:left="720"/>
      <w:contextualSpacing/>
    </w:pPr>
  </w:style>
  <w:style w:type="character" w:styleId="IntenseEmphasis">
    <w:name w:val="Intense Emphasis"/>
    <w:basedOn w:val="DefaultParagraphFont"/>
    <w:uiPriority w:val="21"/>
    <w:qFormat/>
    <w:rsid w:val="009D2D95"/>
    <w:rPr>
      <w:i/>
      <w:iCs/>
      <w:color w:val="0F4761" w:themeColor="accent1" w:themeShade="BF"/>
    </w:rPr>
  </w:style>
  <w:style w:type="paragraph" w:styleId="IntenseQuote">
    <w:name w:val="Intense Quote"/>
    <w:basedOn w:val="Normal"/>
    <w:next w:val="Normal"/>
    <w:link w:val="IntenseQuoteChar"/>
    <w:uiPriority w:val="30"/>
    <w:qFormat/>
    <w:rsid w:val="009D2D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D95"/>
    <w:rPr>
      <w:i/>
      <w:iCs/>
      <w:color w:val="0F4761" w:themeColor="accent1" w:themeShade="BF"/>
    </w:rPr>
  </w:style>
  <w:style w:type="character" w:styleId="IntenseReference">
    <w:name w:val="Intense Reference"/>
    <w:basedOn w:val="DefaultParagraphFont"/>
    <w:uiPriority w:val="32"/>
    <w:qFormat/>
    <w:rsid w:val="009D2D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832</Words>
  <Characters>4749</Characters>
  <Application>Microsoft Office Word</Application>
  <DocSecurity>0</DocSecurity>
  <Lines>39</Lines>
  <Paragraphs>11</Paragraphs>
  <ScaleCrop>false</ScaleCrop>
  <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Naveed</dc:creator>
  <cp:keywords/>
  <dc:description/>
  <cp:lastModifiedBy>Akram, Naveed</cp:lastModifiedBy>
  <cp:revision>4</cp:revision>
  <dcterms:created xsi:type="dcterms:W3CDTF">2025-12-02T16:49:00Z</dcterms:created>
  <dcterms:modified xsi:type="dcterms:W3CDTF">2025-12-03T06:33:00Z</dcterms:modified>
</cp:coreProperties>
</file>