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B068" w14:textId="565341BA" w:rsidR="0025385C" w:rsidRDefault="0025385C" w:rsidP="00B006CD">
      <w:pPr>
        <w:spacing w:after="0"/>
        <w:jc w:val="center"/>
        <w:rPr>
          <w:rFonts w:ascii="Arial" w:hAnsi="Arial" w:cs="Arial"/>
          <w:b/>
          <w:bCs/>
          <w:sz w:val="32"/>
          <w:szCs w:val="32"/>
        </w:rPr>
      </w:pPr>
      <w:r>
        <w:rPr>
          <w:rFonts w:ascii="Arial" w:hAnsi="Arial" w:cs="Arial"/>
          <w:b/>
          <w:bCs/>
          <w:noProof/>
          <w:sz w:val="56"/>
          <w:szCs w:val="56"/>
        </w:rPr>
        <w:drawing>
          <wp:inline distT="0" distB="0" distL="0" distR="0" wp14:anchorId="24A4F462" wp14:editId="458FA571">
            <wp:extent cx="3342459" cy="1051560"/>
            <wp:effectExtent l="0" t="0" r="0" b="0"/>
            <wp:docPr id="85135911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59119" name="Picture 1" descr="A close-up of a logo&#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51452" cy="1054389"/>
                    </a:xfrm>
                    <a:prstGeom prst="rect">
                      <a:avLst/>
                    </a:prstGeom>
                    <a:noFill/>
                    <a:ln>
                      <a:noFill/>
                    </a:ln>
                  </pic:spPr>
                </pic:pic>
              </a:graphicData>
            </a:graphic>
          </wp:inline>
        </w:drawing>
      </w:r>
    </w:p>
    <w:p w14:paraId="5988BE0D" w14:textId="77777777" w:rsidR="00462D83" w:rsidRDefault="00462D83" w:rsidP="008C5FDC">
      <w:pPr>
        <w:spacing w:after="0" w:line="240" w:lineRule="auto"/>
        <w:jc w:val="center"/>
        <w:rPr>
          <w:rFonts w:ascii="Arial" w:hAnsi="Arial" w:cs="Arial"/>
          <w:b/>
          <w:bCs/>
          <w:sz w:val="32"/>
          <w:szCs w:val="32"/>
        </w:rPr>
      </w:pPr>
    </w:p>
    <w:p w14:paraId="2C675E59" w14:textId="77777777" w:rsidR="0025385C" w:rsidRPr="00117471" w:rsidRDefault="0025385C" w:rsidP="001B6E3D">
      <w:pPr>
        <w:spacing w:after="0"/>
        <w:jc w:val="right"/>
        <w:rPr>
          <w:rFonts w:ascii="Arial" w:hAnsi="Arial" w:cs="Arial"/>
          <w:b/>
          <w:bCs/>
          <w:color w:val="0068B3"/>
          <w:sz w:val="52"/>
          <w:szCs w:val="52"/>
        </w:rPr>
      </w:pPr>
      <w:r w:rsidRPr="00117471">
        <w:rPr>
          <w:rFonts w:ascii="Arial" w:eastAsia="Arial Unicode MS" w:hAnsi="Arial" w:cs="Arial"/>
          <w:b/>
          <w:bCs/>
          <w:color w:val="0068B3"/>
          <w:sz w:val="52"/>
          <w:szCs w:val="52"/>
        </w:rPr>
        <w:t xml:space="preserve">Machine Learning Group Project </w:t>
      </w:r>
    </w:p>
    <w:p w14:paraId="149B4AA3" w14:textId="2F7BB094" w:rsidR="0025385C" w:rsidRPr="00833E57" w:rsidRDefault="00BA66A0" w:rsidP="001B6E3D">
      <w:pPr>
        <w:spacing w:after="0"/>
        <w:ind w:left="3600" w:firstLine="720"/>
        <w:jc w:val="right"/>
        <w:rPr>
          <w:rFonts w:ascii="Arial" w:hAnsi="Arial" w:cs="Arial"/>
          <w:b/>
          <w:bCs/>
          <w:color w:val="0068B3"/>
          <w:sz w:val="44"/>
          <w:szCs w:val="44"/>
        </w:rPr>
      </w:pPr>
      <w:r>
        <w:rPr>
          <w:rFonts w:ascii="Arial" w:hAnsi="Arial" w:cs="Arial"/>
          <w:b/>
          <w:bCs/>
          <w:color w:val="0068B3"/>
          <w:sz w:val="44"/>
          <w:szCs w:val="44"/>
        </w:rPr>
        <w:t>Ethical Analysi</w:t>
      </w:r>
      <w:r w:rsidR="006A0C80">
        <w:rPr>
          <w:rFonts w:ascii="Arial" w:hAnsi="Arial" w:cs="Arial"/>
          <w:b/>
          <w:bCs/>
          <w:color w:val="0068B3"/>
          <w:sz w:val="44"/>
          <w:szCs w:val="44"/>
        </w:rPr>
        <w:t>s</w:t>
      </w:r>
    </w:p>
    <w:p w14:paraId="248AFB93" w14:textId="77777777" w:rsidR="0025385C" w:rsidRDefault="0025385C" w:rsidP="001B6E3D">
      <w:pPr>
        <w:spacing w:after="0"/>
        <w:jc w:val="right"/>
        <w:rPr>
          <w:rFonts w:ascii="Arial" w:hAnsi="Arial" w:cs="Arial"/>
          <w:b/>
          <w:bCs/>
          <w:color w:val="0068B3"/>
          <w:sz w:val="32"/>
          <w:szCs w:val="32"/>
        </w:rPr>
      </w:pPr>
    </w:p>
    <w:p w14:paraId="02E1FE43" w14:textId="77777777" w:rsidR="0025385C" w:rsidRPr="00AD0B53" w:rsidRDefault="0025385C" w:rsidP="001B6E3D">
      <w:pPr>
        <w:pBdr>
          <w:top w:val="nil"/>
          <w:left w:val="nil"/>
          <w:bottom w:val="nil"/>
          <w:right w:val="nil"/>
          <w:between w:val="nil"/>
          <w:bar w:val="nil"/>
        </w:pBdr>
        <w:spacing w:after="0"/>
        <w:jc w:val="right"/>
        <w:rPr>
          <w:rFonts w:ascii="Arial" w:hAnsi="Arial" w:cs="Arial"/>
          <w:b/>
          <w:bCs/>
          <w:color w:val="0068B3"/>
          <w:sz w:val="32"/>
          <w:szCs w:val="32"/>
        </w:rPr>
      </w:pPr>
      <w:r w:rsidRPr="00AD0B53">
        <w:rPr>
          <w:rFonts w:ascii="Arial" w:hAnsi="Arial" w:cs="Arial"/>
          <w:b/>
          <w:bCs/>
          <w:color w:val="0068B3"/>
          <w:sz w:val="32"/>
          <w:szCs w:val="32"/>
        </w:rPr>
        <w:t>Predicting Diabetes Outcomes Using Machine Learning</w:t>
      </w:r>
    </w:p>
    <w:p w14:paraId="34D6E327" w14:textId="77777777" w:rsidR="0025385C" w:rsidRDefault="0025385C" w:rsidP="001B6E3D">
      <w:pPr>
        <w:spacing w:after="0"/>
        <w:rPr>
          <w:rFonts w:ascii="Arial" w:hAnsi="Arial" w:cs="Arial"/>
          <w:b/>
          <w:bCs/>
          <w:sz w:val="26"/>
          <w:szCs w:val="26"/>
        </w:rPr>
      </w:pPr>
    </w:p>
    <w:p w14:paraId="32D51321" w14:textId="77777777" w:rsidR="0025385C" w:rsidRDefault="0025385C" w:rsidP="001B6E3D">
      <w:pPr>
        <w:spacing w:after="0"/>
        <w:rPr>
          <w:rFonts w:ascii="Arial" w:hAnsi="Arial" w:cs="Arial"/>
          <w:b/>
          <w:bCs/>
          <w:sz w:val="26"/>
          <w:szCs w:val="26"/>
        </w:rPr>
      </w:pPr>
    </w:p>
    <w:p w14:paraId="244ED0F8" w14:textId="77777777" w:rsidR="00D60500" w:rsidRDefault="00D60500" w:rsidP="001B6E3D">
      <w:pPr>
        <w:spacing w:after="0"/>
        <w:rPr>
          <w:rFonts w:ascii="Arial" w:hAnsi="Arial" w:cs="Arial"/>
          <w:b/>
          <w:bCs/>
          <w:sz w:val="26"/>
          <w:szCs w:val="26"/>
        </w:rPr>
      </w:pPr>
    </w:p>
    <w:p w14:paraId="334BA92A" w14:textId="77777777" w:rsidR="0025385C" w:rsidRDefault="0025385C" w:rsidP="001B6E3D">
      <w:pPr>
        <w:spacing w:after="0"/>
        <w:rPr>
          <w:rFonts w:ascii="Arial" w:hAnsi="Arial" w:cs="Arial"/>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25385C" w14:paraId="25A4EF96" w14:textId="77777777" w:rsidTr="005976D8">
        <w:trPr>
          <w:trHeight w:val="281"/>
        </w:trPr>
        <w:tc>
          <w:tcPr>
            <w:tcW w:w="3686" w:type="dxa"/>
          </w:tcPr>
          <w:p w14:paraId="78A5715E"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Module:</w:t>
            </w:r>
          </w:p>
        </w:tc>
        <w:tc>
          <w:tcPr>
            <w:tcW w:w="5664" w:type="dxa"/>
          </w:tcPr>
          <w:p w14:paraId="7DFB1D6E" w14:textId="3BCCF020" w:rsidR="0025385C" w:rsidRPr="00210AF6" w:rsidRDefault="00894DD6" w:rsidP="00894DD6">
            <w:pPr>
              <w:rPr>
                <w:rFonts w:ascii="Arial" w:hAnsi="Arial" w:cs="Arial"/>
                <w:sz w:val="32"/>
                <w:szCs w:val="32"/>
              </w:rPr>
            </w:pPr>
            <w:r w:rsidRPr="00894DD6">
              <w:rPr>
                <w:rFonts w:ascii="Arial" w:hAnsi="Arial" w:cs="Arial"/>
                <w:sz w:val="32"/>
                <w:szCs w:val="32"/>
              </w:rPr>
              <w:t>CP7UA66O_A_SEM1_202526</w:t>
            </w:r>
          </w:p>
        </w:tc>
      </w:tr>
      <w:tr w:rsidR="0025385C" w14:paraId="707954E9" w14:textId="77777777" w:rsidTr="005976D8">
        <w:tc>
          <w:tcPr>
            <w:tcW w:w="3686" w:type="dxa"/>
          </w:tcPr>
          <w:p w14:paraId="43881340"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Academic Session:</w:t>
            </w:r>
          </w:p>
        </w:tc>
        <w:tc>
          <w:tcPr>
            <w:tcW w:w="5664" w:type="dxa"/>
          </w:tcPr>
          <w:p w14:paraId="56575C36"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sz w:val="32"/>
                <w:szCs w:val="32"/>
              </w:rPr>
              <w:t>2025–26</w:t>
            </w:r>
          </w:p>
        </w:tc>
      </w:tr>
      <w:tr w:rsidR="0025385C" w14:paraId="6502BFD8" w14:textId="77777777" w:rsidTr="005976D8">
        <w:tc>
          <w:tcPr>
            <w:tcW w:w="3686" w:type="dxa"/>
          </w:tcPr>
          <w:p w14:paraId="79BB71EA"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Submission Date</w:t>
            </w:r>
            <w:r w:rsidRPr="00210AF6">
              <w:rPr>
                <w:rFonts w:ascii="Arial" w:hAnsi="Arial" w:cs="Arial"/>
                <w:b/>
                <w:bCs/>
                <w:sz w:val="32"/>
                <w:szCs w:val="32"/>
              </w:rPr>
              <w:t>:</w:t>
            </w:r>
          </w:p>
        </w:tc>
        <w:tc>
          <w:tcPr>
            <w:tcW w:w="5664" w:type="dxa"/>
          </w:tcPr>
          <w:p w14:paraId="270E2734"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7</w:t>
            </w:r>
            <w:r w:rsidRPr="00AD0B53">
              <w:rPr>
                <w:rFonts w:ascii="Arial" w:hAnsi="Arial" w:cs="Arial"/>
                <w:sz w:val="32"/>
                <w:szCs w:val="32"/>
              </w:rPr>
              <w:t xml:space="preserve"> December 2025</w:t>
            </w:r>
          </w:p>
        </w:tc>
      </w:tr>
      <w:tr w:rsidR="0025385C" w14:paraId="4173F744" w14:textId="77777777" w:rsidTr="005976D8">
        <w:tc>
          <w:tcPr>
            <w:tcW w:w="3686" w:type="dxa"/>
          </w:tcPr>
          <w:p w14:paraId="3586A606"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Submitted To:</w:t>
            </w:r>
            <w:r w:rsidRPr="00210AF6">
              <w:rPr>
                <w:rFonts w:ascii="Arial" w:hAnsi="Arial" w:cs="Arial"/>
                <w:b/>
                <w:bCs/>
                <w:sz w:val="32"/>
                <w:szCs w:val="32"/>
              </w:rPr>
              <w:tab/>
            </w:r>
          </w:p>
        </w:tc>
        <w:tc>
          <w:tcPr>
            <w:tcW w:w="5664" w:type="dxa"/>
          </w:tcPr>
          <w:p w14:paraId="099C04E2" w14:textId="77777777" w:rsidR="0025385C" w:rsidRDefault="0025385C" w:rsidP="001B6E3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Miss. Shaheen</w:t>
            </w:r>
          </w:p>
        </w:tc>
      </w:tr>
    </w:tbl>
    <w:p w14:paraId="037B4A3D" w14:textId="77777777" w:rsidR="0025385C" w:rsidRDefault="0025385C" w:rsidP="001B6E3D">
      <w:pPr>
        <w:spacing w:after="0"/>
        <w:rPr>
          <w:rFonts w:ascii="Arial" w:eastAsia="Arial Unicode MS" w:hAnsi="Arial" w:cs="Arial"/>
          <w:b/>
          <w:bCs/>
          <w:sz w:val="22"/>
          <w:szCs w:val="22"/>
        </w:rPr>
      </w:pPr>
    </w:p>
    <w:p w14:paraId="25A920B8" w14:textId="77777777" w:rsidR="00003643" w:rsidRDefault="00003643" w:rsidP="001B6E3D">
      <w:pPr>
        <w:spacing w:after="0"/>
        <w:rPr>
          <w:rFonts w:ascii="Arial" w:eastAsia="Arial Unicode MS" w:hAnsi="Arial" w:cs="Arial"/>
          <w:b/>
          <w:bCs/>
          <w:sz w:val="22"/>
          <w:szCs w:val="22"/>
        </w:rPr>
      </w:pPr>
    </w:p>
    <w:p w14:paraId="42F5B909" w14:textId="77777777" w:rsidR="00003643" w:rsidRDefault="00003643" w:rsidP="001B6E3D">
      <w:pPr>
        <w:spacing w:after="0"/>
        <w:rPr>
          <w:rFonts w:ascii="Arial" w:eastAsia="Arial Unicode MS" w:hAnsi="Arial" w:cs="Arial"/>
          <w:b/>
          <w:bCs/>
          <w:sz w:val="22"/>
          <w:szCs w:val="22"/>
        </w:rPr>
      </w:pPr>
    </w:p>
    <w:p w14:paraId="104B94F5" w14:textId="77777777" w:rsidR="00003643" w:rsidRDefault="00003643" w:rsidP="001B6E3D">
      <w:pPr>
        <w:spacing w:after="0"/>
        <w:rPr>
          <w:rFonts w:ascii="Arial" w:eastAsia="Arial Unicode MS" w:hAnsi="Arial" w:cs="Arial"/>
          <w:b/>
          <w:bCs/>
          <w:sz w:val="22"/>
          <w:szCs w:val="22"/>
        </w:rPr>
      </w:pPr>
    </w:p>
    <w:p w14:paraId="55449809" w14:textId="77777777" w:rsidR="00003643" w:rsidRDefault="00003643" w:rsidP="001B6E3D">
      <w:pPr>
        <w:spacing w:after="0"/>
        <w:rPr>
          <w:rFonts w:ascii="Arial" w:eastAsia="Arial Unicode MS" w:hAnsi="Arial" w:cs="Arial"/>
          <w:b/>
          <w:bCs/>
          <w:sz w:val="22"/>
          <w:szCs w:val="22"/>
        </w:rPr>
      </w:pPr>
    </w:p>
    <w:p w14:paraId="0C15295F" w14:textId="77777777" w:rsidR="00003643" w:rsidRDefault="00003643" w:rsidP="001B6E3D">
      <w:pPr>
        <w:spacing w:after="0"/>
        <w:rPr>
          <w:rFonts w:ascii="Arial" w:eastAsia="Arial Unicode MS" w:hAnsi="Arial" w:cs="Arial"/>
          <w:b/>
          <w:bCs/>
          <w:sz w:val="22"/>
          <w:szCs w:val="22"/>
        </w:rPr>
      </w:pPr>
    </w:p>
    <w:p w14:paraId="56ECA03E" w14:textId="77777777" w:rsidR="00A937CC" w:rsidRPr="00ED4151" w:rsidRDefault="00A937CC" w:rsidP="001B6E3D">
      <w:pPr>
        <w:spacing w:after="0"/>
        <w:rPr>
          <w:rFonts w:ascii="Arial" w:eastAsia="Arial Unicode MS" w:hAnsi="Arial" w:cs="Arial"/>
          <w:b/>
          <w:bCs/>
          <w:sz w:val="22"/>
          <w:szCs w:val="22"/>
        </w:rPr>
      </w:pPr>
    </w:p>
    <w:tbl>
      <w:tblPr>
        <w:tblW w:w="4888" w:type="dxa"/>
        <w:jc w:val="right"/>
        <w:tblCellSpacing w:w="15" w:type="dxa"/>
        <w:tblCellMar>
          <w:top w:w="15" w:type="dxa"/>
          <w:left w:w="15" w:type="dxa"/>
          <w:bottom w:w="15" w:type="dxa"/>
          <w:right w:w="15" w:type="dxa"/>
        </w:tblCellMar>
        <w:tblLook w:val="04A0" w:firstRow="1" w:lastRow="0" w:firstColumn="1" w:lastColumn="0" w:noHBand="0" w:noVBand="1"/>
      </w:tblPr>
      <w:tblGrid>
        <w:gridCol w:w="3469"/>
        <w:gridCol w:w="1419"/>
      </w:tblGrid>
      <w:tr w:rsidR="00A937CC" w:rsidRPr="00ED4151" w14:paraId="73340FBD" w14:textId="77777777" w:rsidTr="005976D8">
        <w:trPr>
          <w:trHeight w:val="248"/>
          <w:tblHeader/>
          <w:tblCellSpacing w:w="15" w:type="dxa"/>
          <w:jc w:val="right"/>
        </w:trPr>
        <w:tc>
          <w:tcPr>
            <w:tcW w:w="3424" w:type="dxa"/>
            <w:vAlign w:val="center"/>
          </w:tcPr>
          <w:p w14:paraId="68C7ACE3" w14:textId="77777777" w:rsidR="00A937CC" w:rsidRPr="00A9636D" w:rsidRDefault="00A937CC" w:rsidP="001B6E3D">
            <w:pPr>
              <w:spacing w:after="0"/>
              <w:rPr>
                <w:rFonts w:ascii="Arial" w:hAnsi="Arial" w:cs="Arial"/>
                <w:b/>
                <w:bCs/>
                <w:sz w:val="26"/>
                <w:szCs w:val="26"/>
              </w:rPr>
            </w:pPr>
            <w:r w:rsidRPr="008E02A4">
              <w:rPr>
                <w:rFonts w:ascii="Arial" w:eastAsia="Arial Unicode MS" w:hAnsi="Arial" w:cs="Arial"/>
                <w:b/>
                <w:bCs/>
                <w:sz w:val="26"/>
                <w:szCs w:val="26"/>
              </w:rPr>
              <w:t>Group Members:</w:t>
            </w:r>
          </w:p>
        </w:tc>
        <w:tc>
          <w:tcPr>
            <w:tcW w:w="1374" w:type="dxa"/>
            <w:vAlign w:val="center"/>
          </w:tcPr>
          <w:p w14:paraId="4F405CC7" w14:textId="77777777" w:rsidR="00A937CC" w:rsidRPr="00ED4151" w:rsidRDefault="00A937CC" w:rsidP="001B6E3D">
            <w:pPr>
              <w:spacing w:after="0"/>
              <w:rPr>
                <w:rFonts w:ascii="Arial" w:hAnsi="Arial" w:cs="Arial"/>
                <w:b/>
                <w:bCs/>
                <w:sz w:val="22"/>
                <w:szCs w:val="22"/>
              </w:rPr>
            </w:pPr>
          </w:p>
        </w:tc>
      </w:tr>
      <w:tr w:rsidR="00A937CC" w:rsidRPr="00ED4151" w14:paraId="53B4ED4B" w14:textId="77777777" w:rsidTr="005976D8">
        <w:trPr>
          <w:trHeight w:val="248"/>
          <w:tblHeader/>
          <w:tblCellSpacing w:w="15" w:type="dxa"/>
          <w:jc w:val="right"/>
        </w:trPr>
        <w:tc>
          <w:tcPr>
            <w:tcW w:w="3424" w:type="dxa"/>
            <w:vAlign w:val="center"/>
            <w:hideMark/>
          </w:tcPr>
          <w:p w14:paraId="2F4CB082" w14:textId="77777777" w:rsidR="00A937CC" w:rsidRPr="00ED4151" w:rsidRDefault="00A937CC" w:rsidP="001B6E3D">
            <w:pPr>
              <w:pBdr>
                <w:top w:val="nil"/>
                <w:left w:val="nil"/>
                <w:bottom w:val="nil"/>
                <w:right w:val="nil"/>
                <w:between w:val="nil"/>
                <w:bar w:val="nil"/>
              </w:pBdr>
              <w:spacing w:after="0"/>
              <w:rPr>
                <w:rFonts w:ascii="Arial" w:hAnsi="Arial" w:cs="Arial"/>
                <w:b/>
                <w:bCs/>
                <w:sz w:val="22"/>
                <w:szCs w:val="22"/>
              </w:rPr>
            </w:pPr>
            <w:r w:rsidRPr="00ED4151">
              <w:rPr>
                <w:rFonts w:ascii="Arial" w:hAnsi="Arial" w:cs="Arial"/>
                <w:b/>
                <w:bCs/>
                <w:sz w:val="22"/>
                <w:szCs w:val="22"/>
              </w:rPr>
              <w:t>Name</w:t>
            </w:r>
          </w:p>
        </w:tc>
        <w:tc>
          <w:tcPr>
            <w:tcW w:w="1374" w:type="dxa"/>
            <w:vAlign w:val="center"/>
            <w:hideMark/>
          </w:tcPr>
          <w:p w14:paraId="2C1C45F7" w14:textId="77777777" w:rsidR="00A937CC" w:rsidRPr="00ED4151" w:rsidRDefault="00A937CC" w:rsidP="001B6E3D">
            <w:pPr>
              <w:pBdr>
                <w:top w:val="nil"/>
                <w:left w:val="nil"/>
                <w:bottom w:val="nil"/>
                <w:right w:val="nil"/>
                <w:between w:val="nil"/>
                <w:bar w:val="nil"/>
              </w:pBdr>
              <w:spacing w:after="0"/>
              <w:rPr>
                <w:rFonts w:ascii="Arial" w:hAnsi="Arial" w:cs="Arial"/>
                <w:b/>
                <w:bCs/>
                <w:sz w:val="22"/>
                <w:szCs w:val="22"/>
              </w:rPr>
            </w:pPr>
            <w:r w:rsidRPr="00ED4151">
              <w:rPr>
                <w:rFonts w:ascii="Arial" w:hAnsi="Arial" w:cs="Arial"/>
                <w:b/>
                <w:bCs/>
                <w:sz w:val="22"/>
                <w:szCs w:val="22"/>
              </w:rPr>
              <w:t>Student ID</w:t>
            </w:r>
          </w:p>
        </w:tc>
      </w:tr>
      <w:tr w:rsidR="00A937CC" w:rsidRPr="00ED4151" w14:paraId="155CA102" w14:textId="77777777" w:rsidTr="005976D8">
        <w:trPr>
          <w:trHeight w:val="248"/>
          <w:tblCellSpacing w:w="15" w:type="dxa"/>
          <w:jc w:val="right"/>
        </w:trPr>
        <w:tc>
          <w:tcPr>
            <w:tcW w:w="3424" w:type="dxa"/>
            <w:vAlign w:val="center"/>
            <w:hideMark/>
          </w:tcPr>
          <w:p w14:paraId="5F004AE8"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Naveed Akram</w:t>
            </w:r>
          </w:p>
        </w:tc>
        <w:tc>
          <w:tcPr>
            <w:tcW w:w="1374" w:type="dxa"/>
            <w:vAlign w:val="center"/>
            <w:hideMark/>
          </w:tcPr>
          <w:p w14:paraId="29469F5E"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34150039</w:t>
            </w:r>
          </w:p>
        </w:tc>
      </w:tr>
      <w:tr w:rsidR="00A937CC" w:rsidRPr="00ED4151" w14:paraId="77CE31E0" w14:textId="77777777" w:rsidTr="005976D8">
        <w:trPr>
          <w:trHeight w:val="236"/>
          <w:tblCellSpacing w:w="15" w:type="dxa"/>
          <w:jc w:val="right"/>
        </w:trPr>
        <w:tc>
          <w:tcPr>
            <w:tcW w:w="3424" w:type="dxa"/>
            <w:vAlign w:val="center"/>
            <w:hideMark/>
          </w:tcPr>
          <w:p w14:paraId="1D99849F"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Izhar ul Islam Khan</w:t>
            </w:r>
          </w:p>
        </w:tc>
        <w:tc>
          <w:tcPr>
            <w:tcW w:w="1374" w:type="dxa"/>
            <w:vAlign w:val="center"/>
            <w:hideMark/>
          </w:tcPr>
          <w:p w14:paraId="258198C3"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34150040</w:t>
            </w:r>
          </w:p>
        </w:tc>
      </w:tr>
      <w:tr w:rsidR="00A937CC" w:rsidRPr="00ED4151" w14:paraId="494DCDC1" w14:textId="77777777" w:rsidTr="005976D8">
        <w:trPr>
          <w:trHeight w:val="248"/>
          <w:tblCellSpacing w:w="15" w:type="dxa"/>
          <w:jc w:val="right"/>
        </w:trPr>
        <w:tc>
          <w:tcPr>
            <w:tcW w:w="3424" w:type="dxa"/>
            <w:vAlign w:val="center"/>
            <w:hideMark/>
          </w:tcPr>
          <w:p w14:paraId="3C5C51B1"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Subhan</w:t>
            </w:r>
          </w:p>
        </w:tc>
        <w:tc>
          <w:tcPr>
            <w:tcW w:w="1374" w:type="dxa"/>
            <w:vAlign w:val="center"/>
            <w:hideMark/>
          </w:tcPr>
          <w:p w14:paraId="3CB6BBC2"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sidRPr="004452FF">
              <w:rPr>
                <w:rFonts w:ascii="Arial" w:hAnsi="Arial" w:cs="Arial"/>
                <w:sz w:val="22"/>
                <w:szCs w:val="22"/>
              </w:rPr>
              <w:t>21519460</w:t>
            </w:r>
          </w:p>
        </w:tc>
      </w:tr>
      <w:tr w:rsidR="00A937CC" w:rsidRPr="00ED4151" w14:paraId="52D8177B" w14:textId="77777777" w:rsidTr="005976D8">
        <w:trPr>
          <w:trHeight w:val="248"/>
          <w:tblCellSpacing w:w="15" w:type="dxa"/>
          <w:jc w:val="right"/>
        </w:trPr>
        <w:tc>
          <w:tcPr>
            <w:tcW w:w="3424" w:type="dxa"/>
            <w:vAlign w:val="center"/>
            <w:hideMark/>
          </w:tcPr>
          <w:p w14:paraId="48DB3B81"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Pr>
                <w:rFonts w:ascii="Arial" w:hAnsi="Arial" w:cs="Arial"/>
                <w:sz w:val="22"/>
                <w:szCs w:val="22"/>
              </w:rPr>
              <w:t>Haseeb</w:t>
            </w:r>
          </w:p>
        </w:tc>
        <w:tc>
          <w:tcPr>
            <w:tcW w:w="1374" w:type="dxa"/>
            <w:vAlign w:val="center"/>
            <w:hideMark/>
          </w:tcPr>
          <w:p w14:paraId="1D86AE44" w14:textId="77777777" w:rsidR="00A937CC" w:rsidRPr="00ED4151" w:rsidRDefault="00A937CC" w:rsidP="001B6E3D">
            <w:pPr>
              <w:pBdr>
                <w:top w:val="nil"/>
                <w:left w:val="nil"/>
                <w:bottom w:val="nil"/>
                <w:right w:val="nil"/>
                <w:between w:val="nil"/>
                <w:bar w:val="nil"/>
              </w:pBdr>
              <w:spacing w:after="0"/>
              <w:rPr>
                <w:rFonts w:ascii="Arial" w:hAnsi="Arial" w:cs="Arial"/>
                <w:sz w:val="22"/>
                <w:szCs w:val="22"/>
              </w:rPr>
            </w:pPr>
            <w:r w:rsidRPr="00A85376">
              <w:rPr>
                <w:rFonts w:ascii="Arial" w:hAnsi="Arial" w:cs="Arial"/>
                <w:sz w:val="22"/>
                <w:szCs w:val="22"/>
              </w:rPr>
              <w:t>34150055</w:t>
            </w:r>
          </w:p>
        </w:tc>
      </w:tr>
    </w:tbl>
    <w:p w14:paraId="4C7622E7" w14:textId="77777777" w:rsidR="0025385C" w:rsidRPr="0069785D" w:rsidRDefault="0025385C" w:rsidP="001B6E3D">
      <w:pPr>
        <w:spacing w:after="0"/>
        <w:rPr>
          <w:rFonts w:ascii="Arial" w:hAnsi="Arial" w:cs="Arial"/>
          <w:sz w:val="22"/>
          <w:szCs w:val="22"/>
        </w:rPr>
      </w:pPr>
    </w:p>
    <w:p w14:paraId="1BE78917" w14:textId="6B25CFE2" w:rsidR="0025385C" w:rsidRDefault="0025385C">
      <w:pPr>
        <w:rPr>
          <w:rFonts w:asciiTheme="minorBidi" w:hAnsiTheme="minorBidi"/>
          <w:b/>
          <w:bCs/>
          <w:sz w:val="22"/>
          <w:szCs w:val="22"/>
        </w:rPr>
      </w:pPr>
    </w:p>
    <w:p w14:paraId="40C5F2E7" w14:textId="77777777" w:rsidR="00D03216" w:rsidRDefault="00D03216" w:rsidP="006B1397">
      <w:pPr>
        <w:jc w:val="center"/>
        <w:rPr>
          <w:rFonts w:asciiTheme="minorBidi" w:hAnsiTheme="minorBidi"/>
          <w:b/>
          <w:bCs/>
          <w:sz w:val="22"/>
          <w:szCs w:val="22"/>
        </w:rPr>
      </w:pPr>
    </w:p>
    <w:p w14:paraId="10F9A5C0" w14:textId="77777777" w:rsidR="00D03216" w:rsidRDefault="00D03216" w:rsidP="004B7737">
      <w:pPr>
        <w:rPr>
          <w:rFonts w:asciiTheme="minorBidi" w:hAnsiTheme="minorBidi"/>
          <w:b/>
          <w:bCs/>
          <w:sz w:val="22"/>
          <w:szCs w:val="22"/>
        </w:rPr>
      </w:pPr>
    </w:p>
    <w:p w14:paraId="7C55E5EB" w14:textId="05044C8E" w:rsidR="00E11B68" w:rsidRPr="00A06347" w:rsidRDefault="00E11B68" w:rsidP="006B1397">
      <w:pPr>
        <w:jc w:val="center"/>
        <w:rPr>
          <w:rFonts w:asciiTheme="minorBidi" w:hAnsiTheme="minorBidi"/>
          <w:b/>
          <w:bCs/>
          <w:sz w:val="22"/>
          <w:szCs w:val="22"/>
        </w:rPr>
      </w:pPr>
      <w:r w:rsidRPr="00A06347">
        <w:rPr>
          <w:rFonts w:asciiTheme="minorBidi" w:hAnsiTheme="minorBidi"/>
          <w:b/>
          <w:bCs/>
          <w:sz w:val="22"/>
          <w:szCs w:val="22"/>
        </w:rPr>
        <w:lastRenderedPageBreak/>
        <w:t>Ethical Analysis — Fairness and Bias in Healthcare Prediction</w:t>
      </w:r>
    </w:p>
    <w:p w14:paraId="08723FCE"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Working with prediction models in healthcare always brings up questions about fairness. When the goal is to identify diabetes risk, the stakes feel even higher because a wrong call can affect someone’s long-term health. The dataset we used included medical measurements, lifestyle details and family history. As we built the model, we tried to look beyond accuracy and think through how the data and modelling choices might influence fairness or lead to uneven outcomes.</w:t>
      </w:r>
    </w:p>
    <w:p w14:paraId="22067BD5" w14:textId="77777777" w:rsidR="00E11B68" w:rsidRPr="00A06347" w:rsidRDefault="00E11B68" w:rsidP="00E11B68">
      <w:pPr>
        <w:rPr>
          <w:rFonts w:asciiTheme="minorBidi" w:hAnsiTheme="minorBidi"/>
          <w:sz w:val="22"/>
          <w:szCs w:val="22"/>
        </w:rPr>
      </w:pPr>
    </w:p>
    <w:p w14:paraId="6DC9647B"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One of the first things we noticed was the risk of representation problems. A model doesn’t “think” about people; it simply copies the patterns it’s given. Our dataset had the usual clinical features like age, BMI, glucose levels and blood pressure. What it didn’t have was information about ethnicity, gender or socioeconomic background. At a glance, this might look like a neutral setup, but it can unintentionally hide deeper inequalities. Diabetes risk isn’t the same for every demographic group, and if certain groups aren’t properly represented, the predictions for them can be less reliable. Even when a sensitive attribute isn’t included, something else can act as a stand-in. BMI, for example, sometimes reflects demographic trends. To avoid training a model that only works well for part of the population, we spent time studying the shape of the data: checking ranges, spotting unusual values and looking for gaps.</w:t>
      </w:r>
    </w:p>
    <w:p w14:paraId="6220B52C" w14:textId="77777777" w:rsidR="00E11B68" w:rsidRPr="00A06347" w:rsidRDefault="00E11B68" w:rsidP="00E11B68">
      <w:pPr>
        <w:rPr>
          <w:rFonts w:asciiTheme="minorBidi" w:hAnsiTheme="minorBidi"/>
          <w:sz w:val="22"/>
          <w:szCs w:val="22"/>
        </w:rPr>
      </w:pPr>
    </w:p>
    <w:p w14:paraId="1BD347CE"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Data quality turned out to be another ethical issue. Medical data isn’t always neat. Our dataset had zero values for features like glucose, insulin and blood pressure, which didn’t make sense clinically. If we fed those values straight into the model, it would learn patterns that weren’t real. So we used reasonable imputation methods and added flags to record when a value came from estimation instead of a proper measurement. This helps the model avoid treating missing data as a risk factor. It also means a clinician who sees the output can understand when the prediction is based on shaky or incomplete records.</w:t>
      </w:r>
    </w:p>
    <w:p w14:paraId="1376761E" w14:textId="77777777" w:rsidR="00E11B68" w:rsidRPr="00A06347" w:rsidRDefault="00E11B68" w:rsidP="00E11B68">
      <w:pPr>
        <w:rPr>
          <w:rFonts w:asciiTheme="minorBidi" w:hAnsiTheme="minorBidi"/>
          <w:sz w:val="22"/>
          <w:szCs w:val="22"/>
        </w:rPr>
      </w:pPr>
    </w:p>
    <w:p w14:paraId="429E0CED"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The consequences of prediction errors aren’t equal either. A false negative can cause the most harm because it tells someone they’re not at risk when they are. That could delay treatment or screening. A false positive is stressful, but it usually leads to extra tests rather than long-term danger. Because of this difference, we examined misclassifications closely. Logistic regression helped reveal when the model tended to miss positive cases. Many of these happened when glucose levels were near the threshold or when someone had a mix of mild risk factors that, together, still suggested elevated risk. To reduce these problems, we created a few engineered features that reflect how doctors often think, such as combining glucose with BMI or looking at patterns tied to insulin resistance.</w:t>
      </w:r>
    </w:p>
    <w:p w14:paraId="4462CA7F" w14:textId="77777777" w:rsidR="00E11B68" w:rsidRPr="00A06347" w:rsidRDefault="00E11B68" w:rsidP="00E11B68">
      <w:pPr>
        <w:rPr>
          <w:rFonts w:asciiTheme="minorBidi" w:hAnsiTheme="minorBidi"/>
          <w:sz w:val="22"/>
          <w:szCs w:val="22"/>
        </w:rPr>
      </w:pPr>
    </w:p>
    <w:p w14:paraId="1CFF4148" w14:textId="7404C4B6" w:rsidR="00E11B68" w:rsidRPr="00A06347" w:rsidRDefault="00E11B68" w:rsidP="00E11B68">
      <w:pPr>
        <w:rPr>
          <w:rFonts w:asciiTheme="minorBidi" w:hAnsiTheme="minorBidi"/>
          <w:sz w:val="22"/>
          <w:szCs w:val="22"/>
        </w:rPr>
      </w:pPr>
      <w:r w:rsidRPr="00A06347">
        <w:rPr>
          <w:rFonts w:asciiTheme="minorBidi" w:hAnsiTheme="minorBidi"/>
          <w:sz w:val="22"/>
          <w:szCs w:val="22"/>
        </w:rPr>
        <w:t xml:space="preserve">Threshold tuning became important too. Sticking with the default 0.5 threshold didn’t make sense in a medical setting. Lowering the threshold can improve recall, which means fewer false </w:t>
      </w:r>
      <w:r w:rsidRPr="00A06347">
        <w:rPr>
          <w:rFonts w:asciiTheme="minorBidi" w:hAnsiTheme="minorBidi"/>
          <w:sz w:val="22"/>
          <w:szCs w:val="22"/>
        </w:rPr>
        <w:lastRenderedPageBreak/>
        <w:t xml:space="preserve">negatives, but also increases false positives. For early screening, catching as many true cases as possible matters more. We tested different thresholds on models like </w:t>
      </w:r>
      <w:proofErr w:type="spellStart"/>
      <w:r w:rsidRPr="00A06347">
        <w:rPr>
          <w:rFonts w:asciiTheme="minorBidi" w:hAnsiTheme="minorBidi"/>
          <w:sz w:val="22"/>
          <w:szCs w:val="22"/>
        </w:rPr>
        <w:t>XGBoost</w:t>
      </w:r>
      <w:proofErr w:type="spellEnd"/>
      <w:r w:rsidRPr="00A06347">
        <w:rPr>
          <w:rFonts w:asciiTheme="minorBidi" w:hAnsiTheme="minorBidi"/>
          <w:sz w:val="22"/>
          <w:szCs w:val="22"/>
        </w:rPr>
        <w:t xml:space="preserve"> and HistGradientBoosting and found points where recall reached</w:t>
      </w:r>
      <w:r w:rsidR="00E862A2" w:rsidRPr="00A06347">
        <w:rPr>
          <w:rFonts w:asciiTheme="minorBidi" w:hAnsiTheme="minorBidi"/>
          <w:sz w:val="22"/>
          <w:szCs w:val="22"/>
        </w:rPr>
        <w:t xml:space="preserve"> </w:t>
      </w:r>
      <w:r w:rsidR="00DA707F" w:rsidRPr="00A06347">
        <w:rPr>
          <w:rFonts w:asciiTheme="minorBidi" w:hAnsiTheme="minorBidi"/>
          <w:sz w:val="22"/>
          <w:szCs w:val="22"/>
        </w:rPr>
        <w:t>9</w:t>
      </w:r>
      <w:r w:rsidR="00E862A2" w:rsidRPr="00A06347">
        <w:rPr>
          <w:rFonts w:asciiTheme="minorBidi" w:hAnsiTheme="minorBidi"/>
          <w:sz w:val="22"/>
          <w:szCs w:val="22"/>
        </w:rPr>
        <w:t>4</w:t>
      </w:r>
      <w:r w:rsidR="00DA707F" w:rsidRPr="00A06347">
        <w:rPr>
          <w:rFonts w:asciiTheme="minorBidi" w:hAnsiTheme="minorBidi"/>
          <w:sz w:val="22"/>
          <w:szCs w:val="22"/>
        </w:rPr>
        <w:t>%</w:t>
      </w:r>
      <w:r w:rsidRPr="00A06347">
        <w:rPr>
          <w:rFonts w:asciiTheme="minorBidi" w:hAnsiTheme="minorBidi"/>
          <w:sz w:val="22"/>
          <w:szCs w:val="22"/>
        </w:rPr>
        <w:t>. This obviously increases false alarms, but if the priority is avoiding missed diagnoses, the trade-off can be acceptable.</w:t>
      </w:r>
    </w:p>
    <w:p w14:paraId="07782427" w14:textId="77777777" w:rsidR="00E11B68" w:rsidRPr="00A06347" w:rsidRDefault="00E11B68" w:rsidP="00E11B68">
      <w:pPr>
        <w:rPr>
          <w:rFonts w:asciiTheme="minorBidi" w:hAnsiTheme="minorBidi"/>
          <w:sz w:val="22"/>
          <w:szCs w:val="22"/>
        </w:rPr>
      </w:pPr>
    </w:p>
    <w:p w14:paraId="270F9A1A"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That said, false positives don’t hit everyone the same way. Someone who has easy access to healthcare may not mind an extra test, but someone without consistent access might face more stress, cost or logistical barriers. Because our dataset didn’t include demographic fields, we couldn’t measure which groups would carry more of this burden. But acknowledging that limitation is part of building a responsible system. Any real-world version of this model would need to be tested on diverse populations before being used in practice.</w:t>
      </w:r>
    </w:p>
    <w:p w14:paraId="1C979830" w14:textId="77777777" w:rsidR="00E11B68" w:rsidRPr="00A06347" w:rsidRDefault="00E11B68" w:rsidP="00E11B68">
      <w:pPr>
        <w:rPr>
          <w:rFonts w:asciiTheme="minorBidi" w:hAnsiTheme="minorBidi"/>
          <w:sz w:val="22"/>
          <w:szCs w:val="22"/>
        </w:rPr>
      </w:pPr>
    </w:p>
    <w:p w14:paraId="7EB61A83"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 xml:space="preserve">Another topic we looked at was how understandable the model is. Clinicians often feel more confident using a model when they can tell what influenced the result. Complex models like </w:t>
      </w:r>
      <w:proofErr w:type="spellStart"/>
      <w:r w:rsidRPr="00A06347">
        <w:rPr>
          <w:rFonts w:asciiTheme="minorBidi" w:hAnsiTheme="minorBidi"/>
          <w:sz w:val="22"/>
          <w:szCs w:val="22"/>
        </w:rPr>
        <w:t>XGBoost</w:t>
      </w:r>
      <w:proofErr w:type="spellEnd"/>
      <w:r w:rsidRPr="00A06347">
        <w:rPr>
          <w:rFonts w:asciiTheme="minorBidi" w:hAnsiTheme="minorBidi"/>
          <w:sz w:val="22"/>
          <w:szCs w:val="22"/>
        </w:rPr>
        <w:t xml:space="preserve"> perform well but don’t always offer clear explanations. To address this, we reviewed feature importance, studied logistic regression coefficients and created simple risk-score style features that clinicians could interpret without needing to decode a complicated tree structure. This helps increase trust and makes the model more usable.</w:t>
      </w:r>
    </w:p>
    <w:p w14:paraId="2B2412D2" w14:textId="77777777" w:rsidR="00E11B68" w:rsidRPr="00A06347" w:rsidRDefault="00E11B68" w:rsidP="00E11B68">
      <w:pPr>
        <w:rPr>
          <w:rFonts w:asciiTheme="minorBidi" w:hAnsiTheme="minorBidi"/>
          <w:sz w:val="22"/>
          <w:szCs w:val="22"/>
        </w:rPr>
      </w:pPr>
    </w:p>
    <w:p w14:paraId="21F2C640"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We also explored clustering and anomaly detection. These methods aren’t used for diagnosis, but they can uncover interesting patterns. Clustering sometimes revealed groups of patients who didn’t fit the usual metabolic profiles. Anomaly detection helped point out cases where the numbers looked odd or inconsistent, giving a hint that something might be off with the measurements themselves. These tools don’t replace the main model, but they give extra perspective that can help catch cases the supervised model might struggle with.</w:t>
      </w:r>
    </w:p>
    <w:p w14:paraId="79AC556C" w14:textId="77777777" w:rsidR="00E11B68" w:rsidRPr="00A06347" w:rsidRDefault="00E11B68" w:rsidP="00E11B68">
      <w:pPr>
        <w:rPr>
          <w:rFonts w:asciiTheme="minorBidi" w:hAnsiTheme="minorBidi"/>
          <w:sz w:val="22"/>
          <w:szCs w:val="22"/>
        </w:rPr>
      </w:pPr>
    </w:p>
    <w:p w14:paraId="6355F7B5" w14:textId="77777777" w:rsidR="00E11B68" w:rsidRPr="00A06347" w:rsidRDefault="00E11B68" w:rsidP="00E11B68">
      <w:pPr>
        <w:rPr>
          <w:rFonts w:asciiTheme="minorBidi" w:hAnsiTheme="minorBidi"/>
          <w:sz w:val="22"/>
          <w:szCs w:val="22"/>
        </w:rPr>
      </w:pPr>
      <w:r w:rsidRPr="00A06347">
        <w:rPr>
          <w:rFonts w:asciiTheme="minorBidi" w:hAnsiTheme="minorBidi"/>
          <w:sz w:val="22"/>
          <w:szCs w:val="22"/>
        </w:rPr>
        <w:t>All of this fits into a broader idea: prediction models shouldn’t replace clinical judgment. They can be helpful, but they shouldn’t be treated as the final word. Privacy, data handling and long-term monitoring also matter, since models can drift as healthcare trends shift.</w:t>
      </w:r>
    </w:p>
    <w:p w14:paraId="740CD51C" w14:textId="77777777" w:rsidR="00E11B68" w:rsidRPr="00A06347" w:rsidRDefault="00E11B68" w:rsidP="00E11B68">
      <w:pPr>
        <w:rPr>
          <w:rFonts w:asciiTheme="minorBidi" w:hAnsiTheme="minorBidi"/>
          <w:sz w:val="22"/>
          <w:szCs w:val="22"/>
        </w:rPr>
      </w:pPr>
    </w:p>
    <w:p w14:paraId="7E90807B" w14:textId="2B5884C4" w:rsidR="008006A9" w:rsidRPr="00A06347" w:rsidRDefault="00E11B68" w:rsidP="00E11B68">
      <w:pPr>
        <w:rPr>
          <w:rFonts w:asciiTheme="minorBidi" w:hAnsiTheme="minorBidi"/>
          <w:sz w:val="22"/>
          <w:szCs w:val="22"/>
        </w:rPr>
      </w:pPr>
      <w:r w:rsidRPr="00A06347">
        <w:rPr>
          <w:rFonts w:asciiTheme="minorBidi" w:hAnsiTheme="minorBidi"/>
          <w:sz w:val="22"/>
          <w:szCs w:val="22"/>
        </w:rPr>
        <w:t>Overall, the project encouraged us to think about fairness, data quality, interpretability and threshold choices all at once. The aim wasn’t just to hit a high accuracy score but to build something that feels safe, balanced and aligned with the realities of healthcare.</w:t>
      </w:r>
    </w:p>
    <w:sectPr w:rsidR="008006A9" w:rsidRPr="00A06347">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9BC7F" w14:textId="77777777" w:rsidR="00157E8D" w:rsidRDefault="00157E8D" w:rsidP="00795B8E">
      <w:pPr>
        <w:spacing w:after="0" w:line="240" w:lineRule="auto"/>
      </w:pPr>
      <w:r>
        <w:separator/>
      </w:r>
    </w:p>
  </w:endnote>
  <w:endnote w:type="continuationSeparator" w:id="0">
    <w:p w14:paraId="70B2D00C" w14:textId="77777777" w:rsidR="00157E8D" w:rsidRDefault="00157E8D" w:rsidP="00795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09A8" w14:textId="09902507" w:rsidR="00795B8E" w:rsidRDefault="00795B8E">
    <w:pPr>
      <w:pStyle w:val="Footer"/>
    </w:pPr>
    <w:r>
      <w:rPr>
        <w:rFonts w:hint="eastAsia"/>
        <w:noProof/>
      </w:rPr>
      <w:drawing>
        <wp:anchor distT="0" distB="0" distL="114300" distR="114300" simplePos="0" relativeHeight="251659264" behindDoc="1" locked="0" layoutInCell="1" allowOverlap="1" wp14:anchorId="79E92DF2" wp14:editId="02A96544">
          <wp:simplePos x="0" y="0"/>
          <wp:positionH relativeFrom="column">
            <wp:posOffset>-929640</wp:posOffset>
          </wp:positionH>
          <wp:positionV relativeFrom="paragraph">
            <wp:posOffset>0</wp:posOffset>
          </wp:positionV>
          <wp:extent cx="12679680" cy="632460"/>
          <wp:effectExtent l="0" t="0" r="7620" b="0"/>
          <wp:wrapNone/>
          <wp:docPr id="16863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2EDCC" w14:textId="77777777" w:rsidR="00157E8D" w:rsidRDefault="00157E8D" w:rsidP="00795B8E">
      <w:pPr>
        <w:spacing w:after="0" w:line="240" w:lineRule="auto"/>
      </w:pPr>
      <w:r>
        <w:separator/>
      </w:r>
    </w:p>
  </w:footnote>
  <w:footnote w:type="continuationSeparator" w:id="0">
    <w:p w14:paraId="5097CE78" w14:textId="77777777" w:rsidR="00157E8D" w:rsidRDefault="00157E8D" w:rsidP="00795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2BE18" w14:textId="7403AA7C" w:rsidR="00795B8E" w:rsidRDefault="00CA1471">
    <w:pPr>
      <w:pStyle w:val="Header"/>
    </w:pPr>
    <w:r>
      <w:rPr>
        <w:rFonts w:hint="eastAsia"/>
        <w:noProof/>
      </w:rPr>
      <w:drawing>
        <wp:anchor distT="0" distB="0" distL="114300" distR="114300" simplePos="0" relativeHeight="251661312" behindDoc="1" locked="0" layoutInCell="1" allowOverlap="1" wp14:anchorId="4BB04DCF" wp14:editId="46376BF9">
          <wp:simplePos x="0" y="0"/>
          <wp:positionH relativeFrom="column">
            <wp:posOffset>-929640</wp:posOffset>
          </wp:positionH>
          <wp:positionV relativeFrom="paragraph">
            <wp:posOffset>-464820</wp:posOffset>
          </wp:positionV>
          <wp:extent cx="8526780" cy="632460"/>
          <wp:effectExtent l="0" t="0" r="7620" b="0"/>
          <wp:wrapNone/>
          <wp:docPr id="1884198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267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D95"/>
    <w:rsid w:val="00003643"/>
    <w:rsid w:val="001246EA"/>
    <w:rsid w:val="00157E8D"/>
    <w:rsid w:val="0016244B"/>
    <w:rsid w:val="00187112"/>
    <w:rsid w:val="001B6E3D"/>
    <w:rsid w:val="001D4DAB"/>
    <w:rsid w:val="0025385C"/>
    <w:rsid w:val="0034066B"/>
    <w:rsid w:val="0034225D"/>
    <w:rsid w:val="00387615"/>
    <w:rsid w:val="003D52AA"/>
    <w:rsid w:val="00462D83"/>
    <w:rsid w:val="00497AFF"/>
    <w:rsid w:val="004B7737"/>
    <w:rsid w:val="004D72E6"/>
    <w:rsid w:val="004E4454"/>
    <w:rsid w:val="00523D70"/>
    <w:rsid w:val="00692295"/>
    <w:rsid w:val="006A0C80"/>
    <w:rsid w:val="006A5CED"/>
    <w:rsid w:val="006B1397"/>
    <w:rsid w:val="00795B8E"/>
    <w:rsid w:val="008006A9"/>
    <w:rsid w:val="00894DD6"/>
    <w:rsid w:val="008C5FDC"/>
    <w:rsid w:val="008D7A14"/>
    <w:rsid w:val="009D2D95"/>
    <w:rsid w:val="00A06347"/>
    <w:rsid w:val="00A21ECB"/>
    <w:rsid w:val="00A52A9A"/>
    <w:rsid w:val="00A937CC"/>
    <w:rsid w:val="00AA0ECD"/>
    <w:rsid w:val="00B006CD"/>
    <w:rsid w:val="00B029BD"/>
    <w:rsid w:val="00B47AA9"/>
    <w:rsid w:val="00BA66A0"/>
    <w:rsid w:val="00BA69A8"/>
    <w:rsid w:val="00C126F1"/>
    <w:rsid w:val="00C24F20"/>
    <w:rsid w:val="00C91951"/>
    <w:rsid w:val="00CA1471"/>
    <w:rsid w:val="00D03216"/>
    <w:rsid w:val="00D42146"/>
    <w:rsid w:val="00D60500"/>
    <w:rsid w:val="00DA707F"/>
    <w:rsid w:val="00E11B68"/>
    <w:rsid w:val="00E80C99"/>
    <w:rsid w:val="00E862A2"/>
    <w:rsid w:val="00F876F2"/>
    <w:rsid w:val="00FD1AAB"/>
    <w:rsid w:val="00FF4B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43FA0"/>
  <w15:chartTrackingRefBased/>
  <w15:docId w15:val="{6FDBE7CD-DA38-4543-B197-C5127EBA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D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2D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2D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2D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D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D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D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D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D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2D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2D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2D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D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D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D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D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D95"/>
    <w:rPr>
      <w:rFonts w:eastAsiaTheme="majorEastAsia" w:cstheme="majorBidi"/>
      <w:color w:val="272727" w:themeColor="text1" w:themeTint="D8"/>
    </w:rPr>
  </w:style>
  <w:style w:type="paragraph" w:styleId="Title">
    <w:name w:val="Title"/>
    <w:basedOn w:val="Normal"/>
    <w:next w:val="Normal"/>
    <w:link w:val="TitleChar"/>
    <w:uiPriority w:val="10"/>
    <w:qFormat/>
    <w:rsid w:val="009D2D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D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D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D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D95"/>
    <w:pPr>
      <w:spacing w:before="160"/>
      <w:jc w:val="center"/>
    </w:pPr>
    <w:rPr>
      <w:i/>
      <w:iCs/>
      <w:color w:val="404040" w:themeColor="text1" w:themeTint="BF"/>
    </w:rPr>
  </w:style>
  <w:style w:type="character" w:customStyle="1" w:styleId="QuoteChar">
    <w:name w:val="Quote Char"/>
    <w:basedOn w:val="DefaultParagraphFont"/>
    <w:link w:val="Quote"/>
    <w:uiPriority w:val="29"/>
    <w:rsid w:val="009D2D95"/>
    <w:rPr>
      <w:i/>
      <w:iCs/>
      <w:color w:val="404040" w:themeColor="text1" w:themeTint="BF"/>
    </w:rPr>
  </w:style>
  <w:style w:type="paragraph" w:styleId="ListParagraph">
    <w:name w:val="List Paragraph"/>
    <w:basedOn w:val="Normal"/>
    <w:uiPriority w:val="34"/>
    <w:qFormat/>
    <w:rsid w:val="009D2D95"/>
    <w:pPr>
      <w:ind w:left="720"/>
      <w:contextualSpacing/>
    </w:pPr>
  </w:style>
  <w:style w:type="character" w:styleId="IntenseEmphasis">
    <w:name w:val="Intense Emphasis"/>
    <w:basedOn w:val="DefaultParagraphFont"/>
    <w:uiPriority w:val="21"/>
    <w:qFormat/>
    <w:rsid w:val="009D2D95"/>
    <w:rPr>
      <w:i/>
      <w:iCs/>
      <w:color w:val="0F4761" w:themeColor="accent1" w:themeShade="BF"/>
    </w:rPr>
  </w:style>
  <w:style w:type="paragraph" w:styleId="IntenseQuote">
    <w:name w:val="Intense Quote"/>
    <w:basedOn w:val="Normal"/>
    <w:next w:val="Normal"/>
    <w:link w:val="IntenseQuoteChar"/>
    <w:uiPriority w:val="30"/>
    <w:qFormat/>
    <w:rsid w:val="009D2D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D95"/>
    <w:rPr>
      <w:i/>
      <w:iCs/>
      <w:color w:val="0F4761" w:themeColor="accent1" w:themeShade="BF"/>
    </w:rPr>
  </w:style>
  <w:style w:type="character" w:styleId="IntenseReference">
    <w:name w:val="Intense Reference"/>
    <w:basedOn w:val="DefaultParagraphFont"/>
    <w:uiPriority w:val="32"/>
    <w:qFormat/>
    <w:rsid w:val="009D2D95"/>
    <w:rPr>
      <w:b/>
      <w:bCs/>
      <w:smallCaps/>
      <w:color w:val="0F4761" w:themeColor="accent1" w:themeShade="BF"/>
      <w:spacing w:val="5"/>
    </w:rPr>
  </w:style>
  <w:style w:type="table" w:styleId="TableGrid">
    <w:name w:val="Table Grid"/>
    <w:basedOn w:val="TableNormal"/>
    <w:uiPriority w:val="39"/>
    <w:rsid w:val="0025385C"/>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95B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5B8E"/>
  </w:style>
  <w:style w:type="paragraph" w:styleId="Footer">
    <w:name w:val="footer"/>
    <w:basedOn w:val="Normal"/>
    <w:link w:val="FooterChar"/>
    <w:uiPriority w:val="99"/>
    <w:unhideWhenUsed/>
    <w:rsid w:val="00795B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5B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885</Words>
  <Characters>5051</Characters>
  <Application>Microsoft Office Word</Application>
  <DocSecurity>0</DocSecurity>
  <Lines>42</Lines>
  <Paragraphs>11</Paragraphs>
  <ScaleCrop>false</ScaleCrop>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Naveed</dc:creator>
  <cp:keywords/>
  <dc:description/>
  <cp:lastModifiedBy>Akram, Naveed</cp:lastModifiedBy>
  <cp:revision>46</cp:revision>
  <dcterms:created xsi:type="dcterms:W3CDTF">2025-12-02T16:49:00Z</dcterms:created>
  <dcterms:modified xsi:type="dcterms:W3CDTF">2025-12-06T16:17:00Z</dcterms:modified>
</cp:coreProperties>
</file>