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SimForge AI Hackathon Submission</w:t>
      </w:r>
    </w:p>
    <w:p>
      <w:pPr>
        <w:spacing w:after="240"/>
      </w:pPr>
      <w:r>
        <w:rPr>
          <w:color w:val="4B5666"/>
        </w:rPr>
        <w:t>Team CodexForge  |  Contributors Naveen Bijalwan and Pooja Bijalwan</w:t>
      </w:r>
    </w:p>
    <w:p>
      <w:pPr>
        <w:pStyle w:val="Heading1"/>
      </w:pPr>
      <w:r>
        <w:t>Demonstration goal</w:t>
      </w:r>
    </w:p>
    <w:p>
      <w:r>
        <w:t>Show one complete FactoryPulse exercise: open with a 12-second map of the need and product, start the application, paste a local Admin prompt and upload synthetic Word/PDF files through the file picker, generate and review a Codex scenario draft, publish it, then follow one learner from a starting knowledge check through investigation, response and an objective learning report.</w:t>
      </w:r>
    </w:p>
    <w:p>
      <w:pPr>
        <w:pStyle w:val="Heading1"/>
      </w:pPr>
      <w:r>
        <w:t>Customer need and measurable impact</w:t>
      </w:r>
    </w:p>
    <w:p>
      <w:r>
        <w:t>The original idea submission describes a client need for staff to explore digital tools and practise decisions without touching live systems or sensitive records. No named interview or measured pilot result is supplied. A pilot can measure trainer preparation time per approved exercise, learner diagnosis accuracy and time, before-and-after knowledge change, and retention on an unseen case. Simulated delays and savings in the product are illustrative.</w:t>
      </w:r>
    </w:p>
    <w:p>
      <w:pPr>
        <w:pStyle w:val="Heading1"/>
      </w:pPr>
      <w:r>
        <w:t>What the application does</w:t>
      </w:r>
    </w:p>
    <w:p>
      <w:pPr/>
      <w:r>
        <w:rPr>
          <w:b/>
        </w:rPr>
        <w:t xml:space="preserve">Admin creates: </w:t>
      </w:r>
      <w:r>
        <w:t>Scenario Lab takes a learning goal and selected synthetic Word/PDF references. The local Codex CLI is the primary route to a constrained scenario definition; an API backup requires an explicit Admin choice.</w:t>
      </w:r>
    </w:p>
    <w:p>
      <w:pPr/>
      <w:r>
        <w:rPr>
          <w:b/>
        </w:rPr>
        <w:t xml:space="preserve">Admin approves: </w:t>
      </w:r>
      <w:r>
        <w:t>Python validates the draft. The Admin checks the learner mission, success criteria, source and security receipts before publishing and notifying learners.</w:t>
      </w:r>
    </w:p>
    <w:p>
      <w:pPr/>
      <w:r>
        <w:rPr>
          <w:b/>
        </w:rPr>
        <w:t xml:space="preserve">Learner practises: </w:t>
      </w:r>
      <w:r>
        <w:t>The learner answers a three-question starting check, works with linked synthetic records, diagnoses a hidden fault, commits an investigation and response, and completes a deterministic CPU simulation.</w:t>
      </w:r>
    </w:p>
    <w:p>
      <w:pPr/>
      <w:r>
        <w:rPr>
          <w:b/>
        </w:rPr>
        <w:t xml:space="preserve">Results explain: </w:t>
      </w:r>
      <w:r>
        <w:t>The debrief compares the run with the same workload without intervention. A post-check and 100-point practice report keep knowledge change separate from simulated operational outcomes.</w:t>
      </w:r>
    </w:p>
    <w:p>
      <w:pPr>
        <w:pStyle w:val="Heading1"/>
      </w:pPr>
      <w:r>
        <w:t>Four minute screen route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83"/>
        <w:gridCol w:w="8179"/>
      </w:tblGrid>
      <w:tr>
        <w:trPr>
          <w:cantSplit/>
        </w:trPr>
        <w:tc>
          <w:tcPr>
            <w:tcW w:type="dxa" w:w="1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  <w:shd w:fill="1F3550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Time</w:t>
            </w:r>
          </w:p>
        </w:tc>
        <w:tc>
          <w:tcPr>
            <w:tcW w:type="dxa" w:w="81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  <w:shd w:fill="1F3550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Evidence on screen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0:00-0:25</w:t>
            </w:r>
          </w:p>
        </w:tc>
        <w:tc>
          <w:tcPr>
            <w:tcW w:type="dxa" w:w="81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Show Opening_Slide.png for 12 seconds, then start with .\start.cmd and show the loaded localhost Overview.</w:t>
            </w:r>
          </w:p>
        </w:tc>
      </w:tr>
      <w:tr>
        <w:trPr>
          <w:cantSplit/>
        </w:trPr>
        <w:tc>
          <w:tcPr>
            <w:tcW w:type="dxa" w:w="1483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0:25-0:35</w:t>
            </w:r>
          </w:p>
        </w:tc>
        <w:tc>
          <w:tcPr>
            <w:tcW w:type="dxa" w:w="8179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State the documented client need and planned pilot measures; no measured pilot yet.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0:35-1:30</w:t>
            </w:r>
          </w:p>
        </w:tc>
        <w:tc>
          <w:tcPr>
            <w:tcW w:type="dxa" w:w="81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Admin selects local Word/PDF files through the file picker, pastes the prompt, screens references, starts Codex, checks the returned draft and publishes.</w:t>
            </w:r>
          </w:p>
        </w:tc>
      </w:tr>
      <w:tr>
        <w:trPr>
          <w:cantSplit/>
        </w:trPr>
        <w:tc>
          <w:tcPr>
            <w:tcW w:type="dxa" w:w="1483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1:30-2:10</w:t>
            </w:r>
          </w:p>
        </w:tc>
        <w:tc>
          <w:tcPr>
            <w:tcW w:type="dxa" w:w="8179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Learner opens the notification, prepares records and completes the starting knowledge check.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2:10-2:55</w:t>
            </w:r>
          </w:p>
        </w:tc>
        <w:tc>
          <w:tcPr>
            <w:tcW w:type="dxa" w:w="81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Play, inspect evidence, commit investigation, submit diagnosis, then repair in the same run.</w:t>
            </w:r>
          </w:p>
        </w:tc>
      </w:tr>
      <w:tr>
        <w:trPr>
          <w:cantSplit/>
        </w:trPr>
        <w:tc>
          <w:tcPr>
            <w:tcW w:type="dxa" w:w="1483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2:55-3:26</w:t>
            </w:r>
          </w:p>
        </w:tc>
        <w:tc>
          <w:tcPr>
            <w:tcW w:type="dxa" w:w="8179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Complete the run, answer the post-check and show the debrief and learning report.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3:26-3:55</w:t>
            </w:r>
          </w:p>
        </w:tc>
        <w:tc>
          <w:tcPr>
            <w:tcW w:type="dxa" w:w="81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Admin observation, privacy evidence, readiness limits and reuse across approved scenarios.</w:t>
            </w:r>
          </w:p>
        </w:tc>
      </w:tr>
    </w:tbl>
    <w:p>
      <w:r>
        <w:br w:type="page"/>
      </w:r>
    </w:p>
    <w:p>
      <w:pPr>
        <w:pStyle w:val="Heading1"/>
      </w:pPr>
      <w:r>
        <w:t>Evidence and practical limits</w:t>
      </w:r>
    </w:p>
    <w:p>
      <w:pPr/>
      <w:r>
        <w:rPr>
          <w:b/>
        </w:rPr>
        <w:t xml:space="preserve">Problem and impact: </w:t>
      </w:r>
      <w:r>
        <w:t>A safe rehearsal replaces exposure to live operational systems. The pilot measures preparation effort and learning outcomes; the current synthetic run is not evidence of customer savings.</w:t>
      </w:r>
    </w:p>
    <w:p>
      <w:pPr/>
      <w:r>
        <w:rPr>
          <w:b/>
        </w:rPr>
        <w:t xml:space="preserve">User validation: </w:t>
      </w:r>
      <w:r>
        <w:t>The client need is documented in the original idea submission. A named user interview, pilot benchmark and retention result remain to be collected.</w:t>
      </w:r>
    </w:p>
    <w:p>
      <w:pPr/>
      <w:r>
        <w:rPr>
          <w:b/>
        </w:rPr>
        <w:t xml:space="preserve">Technical execution: </w:t>
      </w:r>
      <w:r>
        <w:t>FastAPI, React and SQLite support a local two-role flow. Codex generates structured authoring data; Python validates and simulates it. No generated code or uploaded document is executed.</w:t>
      </w:r>
    </w:p>
    <w:p>
      <w:pPr/>
      <w:r>
        <w:rPr>
          <w:b/>
        </w:rPr>
        <w:t xml:space="preserve">Codex leverage: </w:t>
      </w:r>
      <w:r>
        <w:t>The Admin can show the actual draft source and generation status. Codex accelerates turning the brief and references into a reviewable workflow. Learner playback uses no model call.</w:t>
      </w:r>
    </w:p>
    <w:p>
      <w:pPr/>
      <w:r>
        <w:rPr>
          <w:b/>
        </w:rPr>
        <w:t xml:space="preserve">Responsible engineering: </w:t>
      </w:r>
      <w:r>
        <w:t>Synthetic records, API role and ownership checks, local text screening receipts, explicit publication and audit events support review. Pattern screening has gaps; a zero-match receipt is not a privacy guarantee.</w:t>
      </w:r>
    </w:p>
    <w:p>
      <w:pPr/>
      <w:r>
        <w:rPr>
          <w:b/>
        </w:rPr>
        <w:t xml:space="preserve">Production readiness: </w:t>
      </w:r>
      <w:r>
        <w:t>The single-host pilot works for a controlled demonstration. Enterprise identity, retention, monitoring, restore drills, load testing and domain validation remain rollout work.</w:t>
      </w:r>
    </w:p>
    <w:p>
      <w:pPr/>
      <w:r>
        <w:rPr>
          <w:b/>
        </w:rPr>
        <w:t xml:space="preserve">Reuse and scale: </w:t>
      </w:r>
      <w:r>
        <w:t>The same approve-practise-evaluate path can support other workflow, historical-data and ML investigation scenarios after domain review.</w:t>
      </w:r>
    </w:p>
    <w:p>
      <w:pPr>
        <w:pStyle w:val="Heading1"/>
      </w:pPr>
      <w:r>
        <w:t>How to read the learner result</w:t>
      </w:r>
    </w:p>
    <w:p>
      <w:r>
        <w:t>Starting and post-check percentages show short knowledge checks; their difference is knowledge change in percentage points. The separate 100-point practice score uses post-check answers (50), correct diagnosis (25), timely investigation (15) and targeted repair (10). The no-action comparison reports synthetic scenario effects. These are practice signals, not certification or measured business savings.</w:t>
      </w:r>
    </w:p>
    <w:p>
      <w:pPr>
        <w:pStyle w:val="Heading1"/>
      </w:pPr>
      <w:r>
        <w:t>Submission contents</w:t>
      </w:r>
    </w:p>
    <w:p>
      <w:r>
        <w:t>CodexForge.zip will contain the four-minute MP4, Opening_Slide.png, SimForge-AI-code.zip, this overview and TECHNICAL_REFERENCE.txt. The code archive contains the source and Windows setup/start scripts, without local environments, caches, runtime data or secrets.</w:t>
      </w:r>
    </w:p>
    <w:sectPr w:rsidR="00FC693F" w:rsidRPr="0006063C" w:rsidSect="00034616">
      <w:pgSz w:w="11906" w:h="16838"/>
      <w:pgMar w:top="979" w:right="1066" w:bottom="922" w:left="106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2" w:lineRule="auto"/>
    </w:pPr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SimForge AI Hackathon Submission</dc:title>
  <dc:subject/>
  <dc:creator>CodexForge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