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6"/>
        </w:rPr>
        <w:t>CloudRescue Checkout Incident Brief</w:t>
      </w:r>
    </w:p>
    <w:p>
      <w:pPr>
        <w:spacing w:after="200"/>
      </w:pPr>
      <w:r>
        <w:rPr>
          <w:b/>
          <w:color w:val="3E5271"/>
        </w:rPr>
        <w:t>Synthetic administrator reference for Scenario Lab</w:t>
      </w:r>
    </w:p>
    <w:p>
      <w:r>
        <w:t>A checkout service begins losing completed requests shortly after a routine release. This brief supplies a small, consistent incident story for a site reliability engineer to investigate. All identifiers and measurements below are fabricated for training.</w:t>
      </w:r>
    </w:p>
    <w:p>
      <w:pPr>
        <w:pStyle w:val="Heading1"/>
      </w:pPr>
      <w:r>
        <w:t>Service timeline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491"/>
        <w:gridCol w:w="1757"/>
        <w:gridCol w:w="1296"/>
        <w:gridCol w:w="1296"/>
        <w:gridCol w:w="1008"/>
      </w:tblGrid>
      <w:tr>
        <w:tc>
          <w:tcPr>
            <w:tcW w:type="dxa" w:w="1666"/>
            <w:vAlign w:val="center"/>
            <w:shd w:fill="2134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b/>
                <w:color w:val="FFFFFF"/>
                <w:sz w:val="17"/>
              </w:rPr>
              <w:t>Time</w:t>
            </w:r>
          </w:p>
        </w:tc>
        <w:tc>
          <w:tcPr>
            <w:tcW w:type="dxa" w:w="1666"/>
            <w:vAlign w:val="center"/>
            <w:shd w:fill="2134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b/>
                <w:color w:val="FFFFFF"/>
                <w:sz w:val="17"/>
              </w:rPr>
              <w:t>Observed event</w:t>
            </w:r>
          </w:p>
        </w:tc>
        <w:tc>
          <w:tcPr>
            <w:tcW w:type="dxa" w:w="1666"/>
            <w:vAlign w:val="center"/>
            <w:shd w:fill="2134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b/>
                <w:color w:val="FFFFFF"/>
                <w:sz w:val="17"/>
              </w:rPr>
              <w:t>Requests per min</w:t>
            </w:r>
          </w:p>
        </w:tc>
        <w:tc>
          <w:tcPr>
            <w:tcW w:type="dxa" w:w="1666"/>
            <w:vAlign w:val="center"/>
            <w:shd w:fill="2134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b/>
                <w:color w:val="FFFFFF"/>
                <w:sz w:val="17"/>
              </w:rPr>
              <w:t>API p95</w:t>
            </w:r>
          </w:p>
        </w:tc>
        <w:tc>
          <w:tcPr>
            <w:tcW w:type="dxa" w:w="1666"/>
            <w:vAlign w:val="center"/>
            <w:shd w:fill="2134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b/>
                <w:color w:val="FFFFFF"/>
                <w:sz w:val="17"/>
              </w:rPr>
              <w:t>API errors</w:t>
            </w:r>
          </w:p>
        </w:tc>
        <w:tc>
          <w:tcPr>
            <w:tcW w:type="dxa" w:w="1666"/>
            <w:vAlign w:val="center"/>
            <w:shd w:fill="2134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b/>
                <w:color w:val="FFFFFF"/>
                <w:sz w:val="17"/>
              </w:rPr>
              <w:t>DB CPU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09:00</w:t>
            </w:r>
          </w:p>
        </w:tc>
        <w:tc>
          <w:tcPr>
            <w:tcW w:type="dxa" w:w="2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sz w:val="17"/>
              </w:rPr>
              <w:t>Release 2.3 stable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180 ms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0.3%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36%</w:t>
            </w:r>
          </w:p>
        </w:tc>
      </w:tr>
      <w:tr>
        <w:tc>
          <w:tcPr>
            <w:tcW w:type="dxa" w:w="792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09:05</w:t>
            </w:r>
          </w:p>
        </w:tc>
        <w:tc>
          <w:tcPr>
            <w:tcW w:type="dxa" w:w="249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sz w:val="17"/>
              </w:rPr>
              <w:t>Release 2.4 begins</w:t>
            </w:r>
          </w:p>
        </w:tc>
        <w:tc>
          <w:tcPr>
            <w:tcW w:type="dxa" w:w="1757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1296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190 ms</w:t>
            </w:r>
          </w:p>
        </w:tc>
        <w:tc>
          <w:tcPr>
            <w:tcW w:type="dxa" w:w="1296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0.4%</w:t>
            </w:r>
          </w:p>
        </w:tc>
        <w:tc>
          <w:tcPr>
            <w:tcW w:type="dxa" w:w="1008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37%</w:t>
            </w:r>
          </w:p>
        </w:tc>
      </w:tr>
      <w:t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09:10</w:t>
            </w:r>
          </w:p>
        </w:tc>
        <w:tc>
          <w:tcPr>
            <w:tcW w:type="dxa" w:w="24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sz w:val="17"/>
              </w:rPr>
              <w:t>API queues rise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1,450 ms</w:t>
            </w:r>
          </w:p>
        </w:tc>
        <w:tc>
          <w:tcPr>
            <w:tcW w:type="dxa" w:w="12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7.1%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38%</w:t>
            </w:r>
          </w:p>
        </w:tc>
      </w:tr>
      <w:tr>
        <w:tc>
          <w:tcPr>
            <w:tcW w:type="dxa" w:w="792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09:13</w:t>
            </w:r>
          </w:p>
        </w:tc>
        <w:tc>
          <w:tcPr>
            <w:tcW w:type="dxa" w:w="2491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r>
              <w:rPr>
                <w:sz w:val="17"/>
              </w:rPr>
              <w:t>Checkout impact</w:t>
            </w:r>
          </w:p>
        </w:tc>
        <w:tc>
          <w:tcPr>
            <w:tcW w:type="dxa" w:w="1757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1296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1,600 ms</w:t>
            </w:r>
          </w:p>
        </w:tc>
        <w:tc>
          <w:tcPr>
            <w:tcW w:type="dxa" w:w="1296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7.8%</w:t>
            </w:r>
          </w:p>
        </w:tc>
        <w:tc>
          <w:tcPr>
            <w:tcW w:type="dxa" w:w="1008"/>
            <w:vAlign w:val="center"/>
            <w:shd w:fill="F3F6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115" w:type="dxa"/>
              <w:bottom w:w="95" w:type="dxa"/>
              <w:right w:w="115" w:type="dxa"/>
            </w:tcMar>
          </w:tcPr>
          <w:p>
            <w:pPr>
              <w:jc w:val="center"/>
            </w:pPr>
            <w:r>
              <w:rPr>
                <w:sz w:val="17"/>
              </w:rPr>
              <w:t>39%</w:t>
            </w:r>
          </w:p>
        </w:tc>
      </w:tr>
    </w:tbl>
    <w:p>
      <w:pPr>
        <w:pStyle w:val="Heading1"/>
      </w:pPr>
      <w:r>
        <w:t>Evidence and alternatives</w:t>
      </w:r>
    </w:p>
    <w:p>
      <w:pPr>
        <w:pStyle w:val="ListBullet"/>
        <w:spacing w:after="100"/>
        <w:ind w:left="302" w:hanging="187"/>
      </w:pPr>
      <w:r>
        <w:t>Release control records show version 2.4 started at 09:05. The approved API connection-pool limit was 20. A configuration comparison can be investigated after the alert.</w:t>
      </w:r>
    </w:p>
    <w:p>
      <w:pPr>
        <w:pStyle w:val="ListBullet"/>
        <w:spacing w:after="100"/>
        <w:ind w:left="302" w:hanging="187"/>
      </w:pPr>
      <w:r>
        <w:t>Incoming request volume stays close to 120 per minute. Database CPU stays below 40%, and the synthetic upstream-provider status is normal.</w:t>
      </w:r>
    </w:p>
    <w:p>
      <w:pPr>
        <w:pStyle w:val="ListBullet"/>
        <w:spacing w:after="100"/>
        <w:ind w:left="302" w:hanging="187"/>
      </w:pPr>
      <w:r>
        <w:t>The learner should compare the timing of the release and API queues with database and customer-impact records before deciding whether traffic, database capacity or the release is the first failing handoff.</w:t>
      </w:r>
    </w:p>
    <w:p>
      <w:pPr>
        <w:pStyle w:val="Heading1"/>
      </w:pPr>
      <w:r>
        <w:t>Synthetic escalation ticket</w:t>
      </w:r>
    </w:p>
    <w:p>
      <w:r>
        <w:t>Ticket INC-204 lists Contact Demo Person, email demo.person@example.invalid and test host 192.0.2.44. These invented identifiers are irrelevant to the diagnosis and are included to demonstrate privacy screening.</w:t>
      </w:r>
    </w:p>
    <w:p>
      <w:pPr>
        <w:pStyle w:val="Heading1"/>
      </w:pPr>
      <w:r>
        <w:t>Training decision</w:t>
      </w:r>
    </w:p>
    <w:p>
      <w:r>
        <w:t>Investigate the first failing system before a response. A source repair represents restoring the approved release configuration. Compare completed requests, elapsed simulated time and illustrative cost with the same-workload no-action baseline. The exercise does not connect to or change a real production service.</w:t>
      </w:r>
    </w:p>
    <w:sectPr w:rsidR="00FC693F" w:rsidRPr="0006063C" w:rsidSect="00034616">
      <w:footerReference w:type="default" r:id="rId9"/>
      <w:pgSz w:w="12240" w:h="15840"/>
      <w:pgMar w:top="1152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6E7D"/>
        <w:sz w:val="16"/>
      </w:rPr>
      <w:t>Synthetic training reference  |  CloudRescue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22B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