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CodexForge SimForge AI Submission Overview</w:t>
      </w:r>
    </w:p>
    <w:p>
      <w:pPr>
        <w:spacing w:after="240"/>
      </w:pPr>
      <w:r>
        <w:rPr>
          <w:color w:val="000000"/>
          <w:sz w:val="20"/>
        </w:rPr>
        <w:t>Team CodexForge    Contributors Naveen Bijalwan and Pooja Bijalwan</w:t>
      </w:r>
    </w:p>
    <w:p>
      <w:pPr/>
      <w:r>
        <w:t>CodexForge submits SimForge AI, a working prototype for creating safe enterprise incident exercises and observing what learners do with the evidence. An Admin / Trainer reviews and publishes a structured draft; a Learner receives it, investigates linked synthetic records, chooses a response and reviews the outcome. The four minute recording starts the application and follows one FactoryPulse machine failure exercise through both roles.</w:t>
      </w:r>
    </w:p>
    <w:p>
      <w:pPr>
        <w:pStyle w:val="Heading1"/>
      </w:pPr>
      <w:r>
        <w:t>Product flow</w:t>
      </w:r>
    </w:p>
    <w:p>
      <w:pPr/>
      <w:r>
        <w:t>Scenario Lab takes a learning mission and selected document excerpts. The signed in local Codex CLI is the primary authoring engine for a constrained JSON scenario definition. Python validates the draft, and an Admin / Trainer must approve publication before learners are notified. Learner runs then use a deterministic CPU simulation without model inference. The same scenario can generate linked records with a repeatable seed.</w:t>
      </w:r>
    </w:p>
    <w:p>
      <w:pPr>
        <w:pStyle w:val="Heading1"/>
      </w:pPr>
      <w:r>
        <w:t>Evidence against the judging criteria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488"/>
      </w:tblGrid>
      <w:tr>
        <w:trPr>
          <w:tblHeader/>
        </w:trPr>
        <w:tc>
          <w:tcPr>
            <w:tcW w:type="dxa" w:w="2160"/>
            <w:vAlign w:val="center"/>
            <w:shd w:fill="213A5B"/>
            <w:tcMar>
              <w:top w:w="120" w:type="dxa"/>
              <w:start w:w="125" w:type="dxa"/>
              <w:bottom w:w="120" w:type="dxa"/>
              <w:end w:w="125" w:type="dxa"/>
            </w:tcMar>
          </w:tcPr>
          <w:p>
            <w:pPr>
              <w:spacing w:after="0"/>
            </w:pPr>
            <w:r>
              <w:rPr>
                <w:rFonts w:ascii="Aptos" w:hAnsi="Aptos"/>
                <w:b/>
                <w:color w:val="FFFFFF"/>
                <w:sz w:val="19"/>
              </w:rPr>
              <w:t>Judging area</w:t>
            </w:r>
          </w:p>
        </w:tc>
        <w:tc>
          <w:tcPr>
            <w:tcW w:type="dxa" w:w="7488"/>
            <w:vAlign w:val="center"/>
            <w:shd w:fill="213A5B"/>
            <w:tcMar>
              <w:top w:w="120" w:type="dxa"/>
              <w:start w:w="125" w:type="dxa"/>
              <w:bottom w:w="120" w:type="dxa"/>
              <w:end w:w="125" w:type="dxa"/>
            </w:tcMar>
          </w:tcPr>
          <w:p>
            <w:pPr>
              <w:spacing w:after="0"/>
            </w:pPr>
            <w:r>
              <w:rPr>
                <w:rFonts w:ascii="Aptos" w:hAnsi="Aptos"/>
                <w:b/>
                <w:color w:val="FFFFFF"/>
                <w:sz w:val="19"/>
              </w:rPr>
              <w:t>What the solution shows and what remains to prove</w:t>
            </w:r>
          </w:p>
        </w:tc>
      </w:tr>
      <w:tr>
        <w:tc>
          <w:tcPr>
            <w:tcW w:type="dxa" w:w="2160"/>
            <w:vAlign w:val="center"/>
            <w:tcMar>
              <w:top w:w="105" w:type="dxa"/>
              <w:start w:w="125" w:type="dxa"/>
              <w:bottom w:w="105" w:type="dxa"/>
              <w:end w:w="125" w:type="dxa"/>
            </w:tcMar>
          </w:tcPr>
          <w:p>
            <w:pPr>
              <w:spacing w:after="0" w:line="264" w:lineRule="auto"/>
            </w:pPr>
            <w:r>
              <w:rPr>
                <w:rFonts w:ascii="Aptos" w:hAnsi="Aptos"/>
                <w:b/>
                <w:color w:val="000000"/>
                <w:sz w:val="18"/>
              </w:rPr>
              <w:t>Problem and impact</w:t>
            </w:r>
          </w:p>
        </w:tc>
        <w:tc>
          <w:tcPr>
            <w:tcW w:type="dxa" w:w="7488"/>
            <w:vAlign w:val="center"/>
            <w:tcMar>
              <w:top w:w="105" w:type="dxa"/>
              <w:start w:w="125" w:type="dxa"/>
              <w:bottom w:w="105" w:type="dxa"/>
              <w:end w:w="125" w:type="dxa"/>
            </w:tcMar>
          </w:tcPr>
          <w:p>
            <w:pPr>
              <w:spacing w:after="0" w:line="264" w:lineRule="auto"/>
            </w:pPr>
            <w:r>
              <w:rPr>
                <w:rFonts w:ascii="Aptos" w:hAnsi="Aptos"/>
                <w:color w:val="000000"/>
                <w:sz w:val="18"/>
              </w:rPr>
              <w:t>Staff need a place to rehearse decisions across connected systems without changing production or using live customer records. The proposed pilot will measure trainer preparation minutes, learner diagnosis time, knowledge change and later retention. Simulated savings are illustrative.</w:t>
            </w:r>
          </w:p>
        </w:tc>
      </w:tr>
      <w:tr>
        <w:tc>
          <w:tcPr>
            <w:tcW w:type="dxa" w:w="2160"/>
            <w:vAlign w:val="center"/>
            <w:tcMar>
              <w:top w:w="105" w:type="dxa"/>
              <w:start w:w="125" w:type="dxa"/>
              <w:bottom w:w="105" w:type="dxa"/>
              <w:end w:w="125" w:type="dxa"/>
            </w:tcMar>
            <w:shd w:fill="F3F6FA"/>
          </w:tcPr>
          <w:p>
            <w:pPr>
              <w:spacing w:after="0" w:line="264" w:lineRule="auto"/>
            </w:pPr>
            <w:r>
              <w:rPr>
                <w:rFonts w:ascii="Aptos" w:hAnsi="Aptos"/>
                <w:b/>
                <w:color w:val="000000"/>
                <w:sz w:val="18"/>
              </w:rPr>
              <w:t>User validation</w:t>
            </w:r>
          </w:p>
        </w:tc>
        <w:tc>
          <w:tcPr>
            <w:tcW w:type="dxa" w:w="7488"/>
            <w:vAlign w:val="center"/>
            <w:tcMar>
              <w:top w:w="105" w:type="dxa"/>
              <w:start w:w="125" w:type="dxa"/>
              <w:bottom w:w="105" w:type="dxa"/>
              <w:end w:w="125" w:type="dxa"/>
            </w:tcMar>
            <w:shd w:fill="F3F6FA"/>
          </w:tcPr>
          <w:p>
            <w:pPr>
              <w:spacing w:after="0" w:line="264" w:lineRule="auto"/>
            </w:pPr>
            <w:r>
              <w:rPr>
                <w:rFonts w:ascii="Aptos" w:hAnsi="Aptos"/>
                <w:color w:val="000000"/>
                <w:sz w:val="18"/>
              </w:rPr>
              <w:t>The original idea submission documents a client need for safe practice without live systems or sensitive records. No named interview or pilot metrics are supplied; the recording states this limit and proposes a measured pilot.</w:t>
            </w:r>
          </w:p>
        </w:tc>
      </w:tr>
      <w:tr>
        <w:tc>
          <w:tcPr>
            <w:tcW w:type="dxa" w:w="2160"/>
            <w:vAlign w:val="center"/>
            <w:tcMar>
              <w:top w:w="105" w:type="dxa"/>
              <w:start w:w="125" w:type="dxa"/>
              <w:bottom w:w="105" w:type="dxa"/>
              <w:end w:w="125" w:type="dxa"/>
            </w:tcMar>
          </w:tcPr>
          <w:p>
            <w:pPr>
              <w:spacing w:after="0" w:line="264" w:lineRule="auto"/>
            </w:pPr>
            <w:r>
              <w:rPr>
                <w:rFonts w:ascii="Aptos" w:hAnsi="Aptos"/>
                <w:b/>
                <w:color w:val="000000"/>
                <w:sz w:val="18"/>
              </w:rPr>
              <w:t>Technical execution</w:t>
            </w:r>
          </w:p>
        </w:tc>
        <w:tc>
          <w:tcPr>
            <w:tcW w:type="dxa" w:w="7488"/>
            <w:vAlign w:val="center"/>
            <w:tcMar>
              <w:top w:w="105" w:type="dxa"/>
              <w:start w:w="125" w:type="dxa"/>
              <w:bottom w:w="105" w:type="dxa"/>
              <w:end w:w="125" w:type="dxa"/>
            </w:tcMar>
          </w:tcPr>
          <w:p>
            <w:pPr>
              <w:spacing w:after="0" w:line="264" w:lineRule="auto"/>
            </w:pPr>
            <w:r>
              <w:rPr>
                <w:rFonts w:ascii="Aptos" w:hAnsi="Aptos"/>
                <w:color w:val="000000"/>
                <w:sz w:val="18"/>
              </w:rPr>
              <w:t>The recording starts the app with start.cmd, then shows a checked draft, Admin publication, learner notification, synthetic records, diagnosis, a maintenance decision, debrief and post check. The report separates knowledge change from the 100 point practice score. FastAPI, React and SQLite run the local prototype.</w:t>
            </w:r>
          </w:p>
        </w:tc>
      </w:tr>
      <w:tr>
        <w:tc>
          <w:tcPr>
            <w:tcW w:type="dxa" w:w="2160"/>
            <w:vAlign w:val="center"/>
            <w:tcMar>
              <w:top w:w="105" w:type="dxa"/>
              <w:start w:w="125" w:type="dxa"/>
              <w:bottom w:w="105" w:type="dxa"/>
              <w:end w:w="125" w:type="dxa"/>
            </w:tcMar>
            <w:shd w:fill="F3F6FA"/>
          </w:tcPr>
          <w:p>
            <w:pPr>
              <w:spacing w:after="0" w:line="264" w:lineRule="auto"/>
            </w:pPr>
            <w:r>
              <w:rPr>
                <w:rFonts w:ascii="Aptos" w:hAnsi="Aptos"/>
                <w:b/>
                <w:color w:val="000000"/>
                <w:sz w:val="18"/>
              </w:rPr>
              <w:t>Production readiness</w:t>
            </w:r>
          </w:p>
        </w:tc>
        <w:tc>
          <w:tcPr>
            <w:tcW w:type="dxa" w:w="7488"/>
            <w:vAlign w:val="center"/>
            <w:tcMar>
              <w:top w:w="105" w:type="dxa"/>
              <w:start w:w="125" w:type="dxa"/>
              <w:bottom w:w="105" w:type="dxa"/>
              <w:end w:w="125" w:type="dxa"/>
            </w:tcMar>
            <w:shd w:fill="F3F6FA"/>
          </w:tcPr>
          <w:p>
            <w:pPr>
              <w:spacing w:after="0" w:line="264" w:lineRule="auto"/>
            </w:pPr>
            <w:r>
              <w:rPr>
                <w:rFonts w:ascii="Aptos" w:hAnsi="Aptos"/>
                <w:color w:val="000000"/>
                <w:sz w:val="18"/>
              </w:rPr>
              <w:t>The single host pilot has role and ownership checks, versioned records, audit evidence and reproducible simulations. Enterprise identity, retention, monitoring, backup and restore validation, load testing and domain validation remain rollout work.</w:t>
            </w:r>
          </w:p>
        </w:tc>
      </w:tr>
      <w:tr>
        <w:tc>
          <w:tcPr>
            <w:tcW w:type="dxa" w:w="2160"/>
            <w:vAlign w:val="center"/>
            <w:tcMar>
              <w:top w:w="105" w:type="dxa"/>
              <w:start w:w="125" w:type="dxa"/>
              <w:bottom w:w="105" w:type="dxa"/>
              <w:end w:w="125" w:type="dxa"/>
            </w:tcMar>
          </w:tcPr>
          <w:p>
            <w:pPr>
              <w:spacing w:after="0" w:line="264" w:lineRule="auto"/>
            </w:pPr>
            <w:r>
              <w:rPr>
                <w:rFonts w:ascii="Aptos" w:hAnsi="Aptos"/>
                <w:b/>
                <w:color w:val="000000"/>
                <w:sz w:val="18"/>
              </w:rPr>
              <w:t>Codex leverage</w:t>
            </w:r>
          </w:p>
        </w:tc>
        <w:tc>
          <w:tcPr>
            <w:tcW w:type="dxa" w:w="7488"/>
            <w:vAlign w:val="center"/>
            <w:tcMar>
              <w:top w:w="105" w:type="dxa"/>
              <w:start w:w="125" w:type="dxa"/>
              <w:bottom w:w="105" w:type="dxa"/>
              <w:end w:w="125" w:type="dxa"/>
            </w:tcMar>
          </w:tcPr>
          <w:p>
            <w:pPr>
              <w:spacing w:after="0" w:line="264" w:lineRule="auto"/>
            </w:pPr>
            <w:r>
              <w:rPr>
                <w:rFonts w:ascii="Aptos" w:hAnsi="Aptos"/>
                <w:color w:val="000000"/>
                <w:sz w:val="18"/>
              </w:rPr>
              <w:t>Codex CLI is the primary path for turning a brief and selected excerpts into a structured workflow draft for human review. The app records the actual source. An OpenAI API backup is administrator selected and is never a silent retry or a claim of Codex activity.</w:t>
            </w:r>
          </w:p>
        </w:tc>
      </w:tr>
      <w:tr>
        <w:tc>
          <w:tcPr>
            <w:tcW w:type="dxa" w:w="2160"/>
            <w:vAlign w:val="center"/>
            <w:tcMar>
              <w:top w:w="105" w:type="dxa"/>
              <w:start w:w="125" w:type="dxa"/>
              <w:bottom w:w="105" w:type="dxa"/>
              <w:end w:w="125" w:type="dxa"/>
            </w:tcMar>
            <w:shd w:fill="F3F6FA"/>
          </w:tcPr>
          <w:p>
            <w:pPr>
              <w:spacing w:after="0" w:line="264" w:lineRule="auto"/>
            </w:pPr>
            <w:r>
              <w:rPr>
                <w:rFonts w:ascii="Aptos" w:hAnsi="Aptos"/>
                <w:b/>
                <w:color w:val="000000"/>
                <w:sz w:val="18"/>
              </w:rPr>
              <w:t>Responsible engineering</w:t>
            </w:r>
          </w:p>
        </w:tc>
        <w:tc>
          <w:tcPr>
            <w:tcW w:type="dxa" w:w="7488"/>
            <w:vAlign w:val="center"/>
            <w:tcMar>
              <w:top w:w="105" w:type="dxa"/>
              <w:start w:w="125" w:type="dxa"/>
              <w:bottom w:w="105" w:type="dxa"/>
              <w:end w:w="125" w:type="dxa"/>
            </w:tcMar>
            <w:shd w:fill="F3F6FA"/>
          </w:tcPr>
          <w:p>
            <w:pPr>
              <w:spacing w:after="0" w:line="264" w:lineRule="auto"/>
            </w:pPr>
            <w:r>
              <w:rPr>
                <w:rFonts w:ascii="Aptos" w:hAnsi="Aptos"/>
                <w:color w:val="000000"/>
                <w:sz w:val="18"/>
              </w:rPr>
              <w:t>Training records are synthetic. Local screening reports recognized PII types and counts without logging matched values; detection is incomplete. Uploaded text is treated as reference data, generated code is not executed, and publication requires human approval.</w:t>
            </w:r>
          </w:p>
        </w:tc>
      </w:tr>
      <w:tr>
        <w:tc>
          <w:tcPr>
            <w:tcW w:type="dxa" w:w="2160"/>
            <w:vAlign w:val="center"/>
            <w:tcMar>
              <w:top w:w="105" w:type="dxa"/>
              <w:start w:w="125" w:type="dxa"/>
              <w:bottom w:w="105" w:type="dxa"/>
              <w:end w:w="125" w:type="dxa"/>
            </w:tcMar>
          </w:tcPr>
          <w:p>
            <w:pPr>
              <w:spacing w:after="0" w:line="264" w:lineRule="auto"/>
            </w:pPr>
            <w:r>
              <w:rPr>
                <w:rFonts w:ascii="Aptos" w:hAnsi="Aptos"/>
                <w:b/>
                <w:color w:val="000000"/>
                <w:sz w:val="18"/>
              </w:rPr>
              <w:t>Reuse and scale</w:t>
            </w:r>
          </w:p>
        </w:tc>
        <w:tc>
          <w:tcPr>
            <w:tcW w:type="dxa" w:w="7488"/>
            <w:vAlign w:val="center"/>
            <w:tcMar>
              <w:top w:w="105" w:type="dxa"/>
              <w:start w:w="125" w:type="dxa"/>
              <w:bottom w:w="105" w:type="dxa"/>
              <w:end w:w="125" w:type="dxa"/>
            </w:tcMar>
          </w:tcPr>
          <w:p>
            <w:pPr>
              <w:spacing w:after="0" w:line="264" w:lineRule="auto"/>
            </w:pPr>
            <w:r>
              <w:rPr>
                <w:rFonts w:ascii="Aptos" w:hAnsi="Aptos"/>
                <w:color w:val="000000"/>
                <w:sz w:val="18"/>
              </w:rPr>
              <w:t>The authoring and assessment pattern supports live workflow simulations, historical data cases and ML investigations. New approved scenarios can reuse the same publish, practice and review path; broader deployment still needs the controls above.</w:t>
            </w:r>
          </w:p>
        </w:tc>
      </w:tr>
    </w:tbl>
    <w:sectPr w:rsidR="00FC693F" w:rsidRPr="0006063C" w:rsidSect="00034616">
      <w:footerReference w:type="default" r:id="rId9"/>
      <w:pgSz w:w="12240" w:h="15840"/>
      <w:pgMar w:top="1123" w:right="1296" w:bottom="1037"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5050"/>
        <w:sz w:val="16"/>
      </w:rPr>
      <w:t xml:space="preserve">CodexForge   |   SimForge AI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CodexForge SimForge AI Submission Overview</dc:title>
  <dc:subject/>
  <dc:creator>CodexForge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