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FactoryPulse Machine Failure Reference</w:t>
      </w:r>
    </w:p>
    <w:p>
      <w:pPr>
        <w:spacing w:after="240"/>
      </w:pPr>
      <w:r>
        <w:rPr>
          <w:color w:val="5C6673"/>
          <w:sz w:val="18"/>
        </w:rPr>
        <w:t>Synthetic plant scenario | Admin and trainer reference | Version 1</w:t>
      </w:r>
    </w:p>
    <w:p>
      <w:r>
        <w:t>Use this reference with the admin prompt to create a plant-supervisor exercise in Scenario Lab. All machines, thresholds, lots, orders and outcomes are invented. The trainer-only incident key is at the end; keep it out of learner-visible fields before diagnosis.</w:t>
      </w:r>
    </w:p>
    <w:p>
      <w:pPr>
        <w:pStyle w:val="Heading1"/>
      </w:pPr>
      <w:r>
        <w:t>Learner mission and workflow</w:t>
      </w:r>
    </w:p>
    <w:p>
      <w:r>
        <w:t>A simulated press slows while dimensional rejects rise and a dispatch cutoff approaches. The learner compares independent condition evidence, contains suspect output and chooses a maintenance and production response.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1728"/>
        <w:gridCol w:w="1728"/>
      </w:tblGrid>
      <w:tr>
        <w:trPr>
          <w:tblHeader w:val="true"/>
        </w:trP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Node</w:t>
            </w:r>
          </w:p>
        </w:tc>
        <w:tc>
          <w:tcPr>
            <w:tcW w:type="dxa" w:w="43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System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Feeds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sensors</w:t>
            </w:r>
          </w:p>
        </w:tc>
        <w:tc>
          <w:tcPr>
            <w:tcW w:type="dxa" w:w="43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S-204 vibration, current and temperature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Engineering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machine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machine</w:t>
            </w:r>
          </w:p>
        </w:tc>
        <w:tc>
          <w:tcPr>
            <w:tcW w:type="dxa" w:w="43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M-204 press condition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Engineering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production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schedule</w:t>
            </w:r>
          </w:p>
        </w:tc>
        <w:tc>
          <w:tcPr>
            <w:tcW w:type="dxa" w:w="43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Shift plan and M-205 spare capacity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Operations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production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production</w:t>
            </w:r>
          </w:p>
        </w:tc>
        <w:tc>
          <w:tcPr>
            <w:tcW w:type="dxa" w:w="43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Units complete and queue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Operations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quality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quality</w:t>
            </w:r>
          </w:p>
        </w:tc>
        <w:tc>
          <w:tcPr>
            <w:tcW w:type="dxa" w:w="43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Dimensional inspection and lot hold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Safety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shipments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shipments</w:t>
            </w:r>
          </w:p>
        </w:tc>
        <w:tc>
          <w:tcPr>
            <w:tcW w:type="dxa" w:w="43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Dispatch staging and cutoff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Operations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End</w:t>
            </w:r>
          </w:p>
        </w:tc>
      </w:tr>
    </w:tbl>
    <w:p>
      <w:r>
        <w:t>Dependency path: sensors → machine → production → quality → shipments; schedule → production. The incident begins at the sensor/condition boundary and propagates downstream.</w:t>
      </w:r>
    </w:p>
    <w:p>
      <w:pPr>
        <w:pStyle w:val="Heading1"/>
      </w:pPr>
      <w:r>
        <w:t>Sensor and condition observations</w:t>
      </w:r>
    </w:p>
    <w:p>
      <w:r>
        <w:t>The chart PDF visualizes this trend. Portable-meter readings are intermittent; a blank means no independent reading was taken.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088"/>
        <w:gridCol w:w="2088"/>
        <w:gridCol w:w="1656"/>
        <w:gridCol w:w="1656"/>
      </w:tblGrid>
      <w:tr>
        <w:trPr>
          <w:tblHeader w:val="true"/>
        </w:trPr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S-204 mm/s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Meter mm/s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Current A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Temp C</w:t>
            </w:r>
          </w:p>
        </w:tc>
      </w:tr>
      <w:tr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08:00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2.1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3.1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42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61</w:t>
            </w:r>
          </w:p>
        </w:tc>
      </w:tr>
      <w:tr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09:00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2.2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—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44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64</w:t>
            </w:r>
          </w:p>
        </w:tc>
      </w:tr>
      <w:tr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10:00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2.1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5.2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46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68</w:t>
            </w:r>
          </w:p>
        </w:tc>
      </w:tr>
      <w:tr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11:00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2.3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—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50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73</w:t>
            </w:r>
          </w:p>
        </w:tc>
      </w:tr>
      <w:tr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12:00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2.4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7.6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55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81</w:t>
            </w:r>
          </w:p>
        </w:tc>
      </w:tr>
      <w:tr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13:00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2.3</w:t>
            </w:r>
          </w:p>
        </w:tc>
        <w:tc>
          <w:tcPr>
            <w:tcW w:type="dxa" w:w="208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8.0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58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85</w:t>
            </w:r>
          </w:p>
        </w:tc>
      </w:tr>
    </w:tbl>
    <w:p>
      <w:r>
        <w:t>Invented review lines: vibration 6.0 mm/s, motor current 54 A and motor temperature 78 C. A normal S-204 display is not enough to clear the machine.</w:t>
      </w:r>
    </w:p>
    <w:p>
      <w:pPr>
        <w:pStyle w:val="Heading1"/>
      </w:pPr>
      <w:r>
        <w:t>Maintenance and inspection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016"/>
        <w:gridCol w:w="6120"/>
      </w:tblGrid>
      <w:tr>
        <w:trPr>
          <w:tblHeader w:val="true"/>
        </w:trPr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01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61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Observation</w:t>
            </w:r>
          </w:p>
        </w:tc>
      </w:tr>
      <w:tr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07:40</w:t>
            </w:r>
          </w:p>
        </w:tc>
        <w:tc>
          <w:tcPr>
            <w:tcW w:type="dxa" w:w="201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WO-204-CAL</w:t>
            </w:r>
          </w:p>
        </w:tc>
        <w:tc>
          <w:tcPr>
            <w:tcW w:type="dxa" w:w="61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Scheduled S-204 calibration marked complete; dashboard status green.</w:t>
            </w:r>
          </w:p>
        </w:tc>
      </w:tr>
      <w:tr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10:00</w:t>
            </w:r>
          </w:p>
        </w:tc>
        <w:tc>
          <w:tcPr>
            <w:tcW w:type="dxa" w:w="201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WO-204-X1</w:t>
            </w:r>
          </w:p>
        </w:tc>
        <w:tc>
          <w:tcPr>
            <w:tcW w:type="dxa" w:w="61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Portable vibration 5.2 mm/s versus S-204 display 2.1 mm/s.</w:t>
            </w:r>
          </w:p>
        </w:tc>
      </w:tr>
      <w:tr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12:00</w:t>
            </w:r>
          </w:p>
        </w:tc>
        <w:tc>
          <w:tcPr>
            <w:tcW w:type="dxa" w:w="201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WO-204-X2</w:t>
            </w:r>
          </w:p>
        </w:tc>
        <w:tc>
          <w:tcPr>
            <w:tcW w:type="dxa" w:w="61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Portable vibration 7.6 mm/s; motor temperature 81 C.</w:t>
            </w:r>
          </w:p>
        </w:tc>
      </w:tr>
      <w:tr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12:20</w:t>
            </w:r>
          </w:p>
        </w:tc>
        <w:tc>
          <w:tcPr>
            <w:tcW w:type="dxa" w:w="201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WO-204-X3</w:t>
            </w:r>
          </w:p>
        </w:tc>
        <w:tc>
          <w:tcPr>
            <w:tcW w:type="dxa" w:w="612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Bearing noise and roughness noted in a safe spot check.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080"/>
        <w:gridCol w:w="1440"/>
        <w:gridCol w:w="1008"/>
        <w:gridCol w:w="936"/>
        <w:gridCol w:w="3312"/>
      </w:tblGrid>
      <w:tr>
        <w:trPr>
          <w:tblHeader w:val="true"/>
        </w:trP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Lot</w:t>
            </w:r>
          </w:p>
        </w:tc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Examined</w:t>
            </w:r>
          </w:p>
        </w:tc>
        <w:tc>
          <w:tcPr>
            <w:tcW w:type="dxa" w:w="100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Rejects</w:t>
            </w:r>
          </w:p>
        </w:tc>
        <w:tc>
          <w:tcPr>
            <w:tcW w:type="dxa" w:w="93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Rate</w:t>
            </w:r>
          </w:p>
        </w:tc>
        <w:tc>
          <w:tcPr>
            <w:tcW w:type="dxa" w:w="331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Disposition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401-A</w:t>
            </w:r>
          </w:p>
        </w:tc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09:00</w:t>
            </w:r>
          </w:p>
        </w:tc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100</w:t>
            </w:r>
          </w:p>
        </w:tc>
        <w:tc>
          <w:tcPr>
            <w:tcW w:type="dxa" w:w="100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</w:t>
            </w:r>
          </w:p>
        </w:tc>
        <w:tc>
          <w:tcPr>
            <w:tcW w:type="dxa" w:w="93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2%</w:t>
            </w:r>
          </w:p>
        </w:tc>
        <w:tc>
          <w:tcPr>
            <w:tcW w:type="dxa" w:w="331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Released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401-B</w:t>
            </w:r>
          </w:p>
        </w:tc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10:00</w:t>
            </w:r>
          </w:p>
        </w:tc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100</w:t>
            </w:r>
          </w:p>
        </w:tc>
        <w:tc>
          <w:tcPr>
            <w:tcW w:type="dxa" w:w="100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3</w:t>
            </w:r>
          </w:p>
        </w:tc>
        <w:tc>
          <w:tcPr>
            <w:tcW w:type="dxa" w:w="93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3%</w:t>
            </w:r>
          </w:p>
        </w:tc>
        <w:tc>
          <w:tcPr>
            <w:tcW w:type="dxa" w:w="331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Trend review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401-C</w:t>
            </w:r>
          </w:p>
        </w:tc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11:00</w:t>
            </w:r>
          </w:p>
        </w:tc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100</w:t>
            </w:r>
          </w:p>
        </w:tc>
        <w:tc>
          <w:tcPr>
            <w:tcW w:type="dxa" w:w="100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5</w:t>
            </w:r>
          </w:p>
        </w:tc>
        <w:tc>
          <w:tcPr>
            <w:tcW w:type="dxa" w:w="93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5%</w:t>
            </w:r>
          </w:p>
        </w:tc>
        <w:tc>
          <w:tcPr>
            <w:tcW w:type="dxa" w:w="331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Hold advised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401-D</w:t>
            </w:r>
          </w:p>
        </w:tc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12:00</w:t>
            </w:r>
          </w:p>
        </w:tc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100</w:t>
            </w:r>
          </w:p>
        </w:tc>
        <w:tc>
          <w:tcPr>
            <w:tcW w:type="dxa" w:w="100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9</w:t>
            </w:r>
          </w:p>
        </w:tc>
        <w:tc>
          <w:tcPr>
            <w:tcW w:type="dxa" w:w="93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9%</w:t>
            </w:r>
          </w:p>
        </w:tc>
        <w:tc>
          <w:tcPr>
            <w:tcW w:type="dxa" w:w="331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Hold and inspect</w:t>
            </w:r>
          </w:p>
        </w:tc>
      </w:tr>
      <w:tr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401-E</w:t>
            </w:r>
          </w:p>
        </w:tc>
        <w:tc>
          <w:tcPr>
            <w:tcW w:type="dxa" w:w="108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13:00</w:t>
            </w:r>
          </w:p>
        </w:tc>
        <w:tc>
          <w:tcPr>
            <w:tcW w:type="dxa" w:w="144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100</w:t>
            </w:r>
          </w:p>
        </w:tc>
        <w:tc>
          <w:tcPr>
            <w:tcW w:type="dxa" w:w="100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11</w:t>
            </w:r>
          </w:p>
        </w:tc>
        <w:tc>
          <w:tcPr>
            <w:tcW w:type="dxa" w:w="93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11%</w:t>
            </w:r>
          </w:p>
        </w:tc>
        <w:tc>
          <w:tcPr>
            <w:tcW w:type="dxa" w:w="331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Hold and inspect</w:t>
            </w:r>
          </w:p>
        </w:tc>
      </w:tr>
    </w:tbl>
    <w:p>
      <w:r>
        <w:t>Invented reject review line: over 4% in an hourly lot. Incoming material RM-77 passed a 30-of-30 sample. Poor material remains a plausible hypothesis to check, but the available evidence does not support it.</w:t>
      </w:r>
    </w:p>
    <w:p>
      <w:pPr>
        <w:pStyle w:val="Heading1"/>
      </w:pPr>
      <w:r>
        <w:t>Production and shipment commitments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232"/>
        <w:gridCol w:w="5400"/>
      </w:tblGrid>
      <w:tr>
        <w:trPr>
          <w:tblHeader w:val="true"/>
        </w:trPr>
        <w:tc>
          <w:tcPr>
            <w:tcW w:type="dxa" w:w="158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Resource</w:t>
            </w:r>
          </w:p>
        </w:tc>
        <w:tc>
          <w:tcPr>
            <w:tcW w:type="dxa" w:w="223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Plan</w:t>
            </w:r>
          </w:p>
        </w:tc>
        <w:tc>
          <w:tcPr>
            <w:tcW w:type="dxa" w:w="540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Constraint</w:t>
            </w:r>
          </w:p>
        </w:tc>
      </w:tr>
      <w:tr>
        <w:tc>
          <w:tcPr>
            <w:tcW w:type="dxa" w:w="158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M-204</w:t>
            </w:r>
          </w:p>
        </w:tc>
        <w:tc>
          <w:tcPr>
            <w:tcW w:type="dxa" w:w="223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120 units/hour</w:t>
            </w:r>
          </w:p>
        </w:tc>
        <w:tc>
          <w:tcPr>
            <w:tcW w:type="dxa" w:w="540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Main press; output falls after 11:00.</w:t>
            </w:r>
          </w:p>
        </w:tc>
      </w:tr>
      <w:tr>
        <w:tc>
          <w:tcPr>
            <w:tcW w:type="dxa" w:w="158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M-205</w:t>
            </w:r>
          </w:p>
        </w:tc>
        <w:tc>
          <w:tcPr>
            <w:tcW w:type="dxa" w:w="223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70 units/hour</w:t>
            </w:r>
          </w:p>
        </w:tc>
        <w:tc>
          <w:tcPr>
            <w:tcW w:type="dxa" w:w="540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30 units/hour already committed; 40 spare.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728"/>
        <w:gridCol w:w="1800"/>
        <w:gridCol w:w="1944"/>
      </w:tblGrid>
      <w:tr>
        <w:trPr>
          <w:tblHeader w:val="true"/>
        </w:trPr>
        <w:tc>
          <w:tcPr>
            <w:tcW w:type="dxa" w:w="18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18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Lot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Units due</w:t>
            </w:r>
          </w:p>
        </w:tc>
        <w:tc>
          <w:tcPr>
            <w:tcW w:type="dxa" w:w="180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194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Machine</w:t>
            </w:r>
          </w:p>
        </w:tc>
      </w:tr>
      <w:tr>
        <w:tc>
          <w:tcPr>
            <w:tcW w:type="dxa" w:w="18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ORD-401</w:t>
            </w:r>
          </w:p>
        </w:tc>
        <w:tc>
          <w:tcPr>
            <w:tcW w:type="dxa" w:w="18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LOT-401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360</w:t>
            </w:r>
          </w:p>
        </w:tc>
        <w:tc>
          <w:tcPr>
            <w:tcW w:type="dxa" w:w="180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13:15</w:t>
            </w:r>
          </w:p>
        </w:tc>
        <w:tc>
          <w:tcPr>
            <w:tcW w:type="dxa" w:w="194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M-204</w:t>
            </w:r>
          </w:p>
        </w:tc>
      </w:tr>
      <w:tr>
        <w:tc>
          <w:tcPr>
            <w:tcW w:type="dxa" w:w="18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ORD-402</w:t>
            </w:r>
          </w:p>
        </w:tc>
        <w:tc>
          <w:tcPr>
            <w:tcW w:type="dxa" w:w="187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LOT-402</w:t>
            </w:r>
          </w:p>
        </w:tc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240</w:t>
            </w:r>
          </w:p>
        </w:tc>
        <w:tc>
          <w:tcPr>
            <w:tcW w:type="dxa" w:w="1800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15:00</w:t>
            </w:r>
          </w:p>
        </w:tc>
        <w:tc>
          <w:tcPr>
            <w:tcW w:type="dxa" w:w="194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M-204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656"/>
        <w:gridCol w:w="1152"/>
        <w:gridCol w:w="1296"/>
        <w:gridCol w:w="3384"/>
      </w:tblGrid>
      <w:tr>
        <w:trPr>
          <w:tblHeader w:val="true"/>
        </w:trPr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Shipment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Order</w:t>
            </w:r>
          </w:p>
        </w:tc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Units</w:t>
            </w:r>
          </w:p>
        </w:tc>
        <w:tc>
          <w:tcPr>
            <w:tcW w:type="dxa" w:w="129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Cutoff</w:t>
            </w:r>
          </w:p>
        </w:tc>
        <w:tc>
          <w:tcPr>
            <w:tcW w:type="dxa" w:w="338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A59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Status at 12:00</w:t>
            </w:r>
          </w:p>
        </w:tc>
      </w:tr>
      <w:tr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SHIP-401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ORD-401</w:t>
            </w:r>
          </w:p>
        </w:tc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240</w:t>
            </w:r>
          </w:p>
        </w:tc>
        <w:tc>
          <w:tcPr>
            <w:tcW w:type="dxa" w:w="129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13:45</w:t>
            </w:r>
          </w:p>
        </w:tc>
        <w:tc>
          <w:tcPr>
            <w:tcW w:type="dxa" w:w="338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F2F7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Staging short; recent lot needs review.</w:t>
            </w:r>
          </w:p>
        </w:tc>
      </w:tr>
      <w:tr>
        <w:tc>
          <w:tcPr>
            <w:tcW w:type="dxa" w:w="1728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SHIP-402</w:t>
            </w:r>
          </w:p>
        </w:tc>
        <w:tc>
          <w:tcPr>
            <w:tcW w:type="dxa" w:w="165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ORD-402</w:t>
            </w:r>
          </w:p>
        </w:tc>
        <w:tc>
          <w:tcPr>
            <w:tcW w:type="dxa" w:w="1152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180</w:t>
            </w:r>
          </w:p>
        </w:tc>
        <w:tc>
          <w:tcPr>
            <w:tcW w:type="dxa" w:w="1296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16:00</w:t>
            </w:r>
          </w:p>
        </w:tc>
        <w:tc>
          <w:tcPr>
            <w:tcW w:type="dxa" w:w="3384"/>
            <w:vAlign w:val="center"/>
            <w:tcMar>
              <w:top w:w="92" w:type="dxa"/>
              <w:bottom w:w="92" w:type="dxa"/>
              <w:left w:w="110" w:type="dxa"/>
              <w:right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141C24"/>
                <w:sz w:val="18"/>
              </w:rPr>
              <w:t>Not yet staged.</w:t>
            </w:r>
          </w:p>
        </w:tc>
      </w:tr>
    </w:tbl>
    <w:p>
      <w:r>
        <w:t>At 12:00, 180 units remain in the M-204 queue. There is no new demand. Carrier slot CARR-09 is confirmed available. Reallocation to M-205 protects some urgent units but cannot replace all M-204 throughput.</w:t>
      </w:r>
    </w:p>
    <w:p>
      <w:pPr>
        <w:pStyle w:val="Heading1"/>
      </w:pPr>
      <w:r>
        <w:t>Decision design and trainer only incident key</w:t>
      </w:r>
    </w:p>
    <w:p>
      <w:r>
        <w:t>The learner should inspect independent readings, investigate M-204, contain suspect lots, repair the source and consider limited M-205 reallocation or shipment replanning. Demand spike, raw material and carrier delay are decoys. Score evidence-backed diagnosis, timely containment, quality protection and illustrative late units against a same-workload no-action run.</w:t>
      </w:r>
    </w:p>
    <w:p>
      <w:r>
        <w:t>Trainer-only cause: WO-204-CAL saved incorrect vibration display gain 0.06 and zero 1.9 instead of the intended training coefficients 1.0 and 0.0. The mapping flattened S-204's trend while M-204 bearing wear increased, reducing throughput and raising rejects. Keep this out of the title, summary, mission and success fields. Reveal it only after diagnosis.</w:t>
      </w:r>
    </w:p>
    <w:p>
      <w:r>
        <w:t>Before publication, confirm a connected six-node workflow, solvable evidence, plausible decoys, a hidden cause, safe generic inspect/repair/reroute actions and no personal details in generated learner content. The simulator does not operate a real machine; costs and outcomes are illustrative.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41C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