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FactoryPulse Synthetic Privacy Examples</w:t>
      </w:r>
    </w:p>
    <w:p>
      <w:pPr>
        <w:spacing w:after="240"/>
      </w:pPr>
      <w:r>
        <w:rPr>
          <w:color w:val="5C6673"/>
          <w:sz w:val="18"/>
        </w:rPr>
        <w:t>Optional Scenario Lab upload | Admin privacy screening exercise</w:t>
      </w:r>
    </w:p>
    <w:p>
      <w:r>
        <w:t>This document contains fictional PII-shaped entries only. It is separate from the operational reference because the machine-failure exercise needs record status, not names or contact details. Upload it only when demonstrating local screening, then review the extracted preview before generation.</w:t>
      </w:r>
    </w:p>
    <w:p>
      <w:pPr>
        <w:pStyle w:val="Heading1"/>
      </w:pPr>
      <w:r>
        <w:t>Fictional source entries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672"/>
        <w:gridCol w:w="3168"/>
      </w:tblGrid>
      <w:tr>
        <w:trPr>
          <w:tblHeader w:val="true"/>
        </w:trPr>
        <w:tc>
          <w:tcPr>
            <w:tcW w:type="dxa" w:w="237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367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Fictional entry</w:t>
            </w:r>
          </w:p>
        </w:tc>
        <w:tc>
          <w:tcPr>
            <w:tcW w:type="dxa" w:w="316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Keep for scenario</w:t>
            </w:r>
          </w:p>
        </w:tc>
      </w:tr>
      <w:tr>
        <w:tc>
          <w:tcPr>
            <w:tcW w:type="dxa" w:w="237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Maintenance work order WO-204-CAL</w:t>
            </w:r>
          </w:p>
        </w:tc>
        <w:tc>
          <w:tcPr>
            <w:tcW w:type="dxa" w:w="367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Ms. Ava Fixture; badge FP-EMP-0042; ava.fixture@example.invalid; +1 202-555-0142</w:t>
            </w:r>
          </w:p>
        </w:tc>
        <w:tc>
          <w:tcPr>
            <w:tcW w:type="dxa" w:w="316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Work order ID, calibration time and measurement discrepancy.</w:t>
            </w:r>
          </w:p>
        </w:tc>
      </w:tr>
      <w:tr>
        <w:tc>
          <w:tcPr>
            <w:tcW w:type="dxa" w:w="237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Shift roster</w:t>
            </w:r>
          </w:p>
        </w:tc>
        <w:tc>
          <w:tcPr>
            <w:tcW w:type="dxa" w:w="367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Mr. Leo Fixture; badge FP-EMP-0088; leo.fixture@example.invalid; +1 202-555-0168</w:t>
            </w:r>
          </w:p>
        </w:tc>
        <w:tc>
          <w:tcPr>
            <w:tcW w:type="dxa" w:w="316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One maintenance role is available after 12:00.</w:t>
            </w:r>
          </w:p>
        </w:tc>
      </w:tr>
      <w:tr>
        <w:tc>
          <w:tcPr>
            <w:tcW w:type="dxa" w:w="237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Shipment exception SHIP-401</w:t>
            </w:r>
          </w:p>
        </w:tc>
        <w:tc>
          <w:tcPr>
            <w:tcW w:type="dxa" w:w="367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Ms. Nora Fixture; nora.fixture@example.invalid; +1 202-555-0188</w:t>
            </w:r>
          </w:p>
        </w:tc>
        <w:tc>
          <w:tcPr>
            <w:tcW w:type="dxa" w:w="316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Shipment ID, staged units and 13:45 cutoff.</w:t>
            </w:r>
          </w:p>
        </w:tc>
      </w:tr>
    </w:tbl>
    <w:p>
      <w:pPr>
        <w:pStyle w:val="Heading1"/>
      </w:pPr>
      <w:r>
        <w:t>What the administrator should check</w:t>
      </w:r>
    </w:p>
    <w:p>
      <w:pPr>
        <w:pStyle w:val="ListBullet"/>
      </w:pPr>
      <w:r>
        <w:t>Open the extracted preview and confirm names, email addresses and phone numbers are masked. Badge IDs may require manual removal because pattern screening is incomplete.</w:t>
      </w:r>
    </w:p>
    <w:p>
      <w:pPr>
        <w:pStyle w:val="ListBullet"/>
      </w:pPr>
      <w:r>
        <w:t>Select only the fields needed for the exercise. Do not copy contact details into the scenario description or learner-visible definition.</w:t>
      </w:r>
    </w:p>
    <w:p>
      <w:pPr>
        <w:pStyle w:val="ListBullet"/>
      </w:pPr>
      <w:r>
        <w:t>Review generated text and the publication checks. An automatic redaction count is evidence of screening, not proof of complete anonymization.</w:t>
      </w:r>
    </w:p>
    <w:p>
      <w:r>
        <w:t>The example.invalid domain and 202-555-01xx phone format are fictional examples. Every record in this packet is invented. Never substitute real employee, customer or patient information.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141C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