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RMBS Analytics Dashboard</w:t>
      </w:r>
    </w:p>
    <w:p>
      <w:pPr>
        <w:jc w:val="center"/>
      </w:pPr>
      <w:r>
        <w:rPr>
          <w:color w:val="2E75B6"/>
          <w:sz w:val="30"/>
        </w:rPr>
        <w:t>Power BI Build Guide</w:t>
      </w:r>
    </w:p>
    <w:p>
      <w:pPr>
        <w:jc w:val="center"/>
      </w:pPr>
      <w:r>
        <w:rPr>
          <w:i/>
          <w:color w:val="595959"/>
          <w:sz w:val="22"/>
        </w:rPr>
        <w:t>Avon Finance No.2 PLC  |  Prepayment, Credit Performance, Loss &amp; Stress Testing</w:t>
      </w:r>
    </w:p>
    <w:p/>
    <w:p>
      <w:pPr>
        <w:spacing w:after="120"/>
      </w:pPr>
      <w:r>
        <w:rPr>
          <w:b w:val="0"/>
          <w:i w:val="0"/>
          <w:sz w:val="22"/>
        </w:rPr>
        <w:t>This guide accompanies a ready-to-import Power BI data model built from the Avon Finance No.2 loan-level data tape (cut-off 31-Oct-2020) and cross-referenced to the quarterly investor report. It tracks the exact metrics an RMBS investor monitors: prepayment speeds (CPR / SMM / PSA), delinquency and arrears, loss severity and defaults, and an interactive portfolio stress-testing engine. Everything below is reproducible each month by re-running the supplied data pipeline.</w:t>
      </w:r>
    </w:p>
    <w:p>
      <w:pPr>
        <w:spacing w:after="120"/>
      </w:pPr>
      <w:r>
        <w:rPr>
          <w:b w:val="0"/>
          <w:i/>
          <w:color w:val="595959"/>
          <w:sz w:val="21"/>
        </w:rPr>
        <w:t>Build sequence: (1) run the data prep script, (2) import the CSVs, (3) set relationships, (4) paste the DAX measures, (5) add what-if parameters, (6) lay out the five report pages.</w:t>
      </w:r>
    </w:p>
    <w:p>
      <w:pPr>
        <w:pStyle w:val="Heading1"/>
      </w:pPr>
      <w:r>
        <w:rPr>
          <w:rFonts w:ascii="Calibri" w:hAnsi="Calibri"/>
          <w:color w:val="1F3864"/>
        </w:rPr>
        <w:t>1.  What is in the model</w:t>
      </w:r>
    </w:p>
    <w:p>
      <w:pPr>
        <w:spacing w:after="120"/>
      </w:pPr>
      <w:r>
        <w:rPr>
          <w:b w:val="0"/>
          <w:i w:val="0"/>
          <w:sz w:val="21"/>
        </w:rPr>
        <w:t>The PowerBI_Model folder contains: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prep_rmbs.py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Python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Repeatable pipeline: turns a monthly tape into the CSVs below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data\Loans.csv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Fact (snapshot)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One row per loan (8,312) — decoded fields + derived bands &amp; metrics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data\Exits.csv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Fact (events)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Redemptions, defaults, sale prices, loss &amp; severity for the period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data\PoolHistory.csv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Fact (time-series)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One row per reporting period — all pool KPIs (seeded with IR data)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data\DelinquencyHistory.csv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Fact (time-series)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Arrears buckets by period (balance, count, %)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data\CapitalStructure.csv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Dimension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Note tranches A–F / Z / VRR (balance, factor, margin, rating)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data\DateTable.csv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Dimension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Monthly calendar 1997–2030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data\Scenario_*.csv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Parameters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What-if inputs: HPI shock, CDR mult, severity mult, CPR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DAX_Measures.txt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DAX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~50 measures — copy/paste into Power BI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This document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Guide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Build &amp; methodology reference</w:t>
            </w:r>
          </w:p>
        </w:tc>
      </w:tr>
    </w:tbl>
    <w:p>
      <w:pPr>
        <w:pStyle w:val="Heading1"/>
      </w:pPr>
      <w:r>
        <w:rPr>
          <w:rFonts w:ascii="Calibri" w:hAnsi="Calibri"/>
          <w:color w:val="1F3864"/>
        </w:rPr>
        <w:t>2.  Data model &amp; relationships (star schema)</w:t>
      </w:r>
    </w:p>
    <w:p>
      <w:pPr>
        <w:spacing w:after="120"/>
      </w:pPr>
      <w:r>
        <w:rPr>
          <w:b w:val="0"/>
          <w:i w:val="0"/>
          <w:sz w:val="21"/>
        </w:rPr>
        <w:t>Loans and the time-series tables sit at the centre; dimensions filter them. Create these relationships in Model view (drag field to field). Set cross-filter direction to Single unless noted.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</w:tcPr>
          <w:p>
            <w:r/>
            <w:r>
              <w:rPr>
                <w:b/>
                <w:color w:val="FFFFFF"/>
                <w:sz w:val="19"/>
              </w:rPr>
              <w:t>From (many)</w:t>
            </w:r>
          </w:p>
        </w:tc>
        <w:tc>
          <w:tcPr>
            <w:tcW w:type="dxa" w:w="2592"/>
          </w:tcPr>
          <w:p>
            <w:r/>
            <w:r>
              <w:rPr>
                <w:b/>
                <w:color w:val="FFFFFF"/>
                <w:sz w:val="19"/>
              </w:rPr>
              <w:t>To (one)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Loans[CutoffDate]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DateTable[Date]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Active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Exits[CutoffDate]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DateTable[Date]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Active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PoolHistory[CutoffDate]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DateTable[Date]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Use for all trend visuals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DelinquencyHistory[CutoffDate]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DateTable[Date]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Stacked arrears trend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Scenario_HPI / CDR / Severity / CPR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Disconnected (what-if) — no relationship</w:t>
            </w:r>
          </w:p>
        </w:tc>
      </w:tr>
    </w:tbl>
    <w:p>
      <w:pPr>
        <w:spacing w:after="120"/>
      </w:pPr>
      <w:r>
        <w:rPr>
          <w:b w:val="0"/>
          <w:i/>
          <w:color w:val="595959"/>
          <w:sz w:val="21"/>
        </w:rPr>
        <w:t>The four Scenario tables are intentionally left disconnected. Their slicer selections are read by DAX (SELECTEDVALUE) inside the stress-test measures — this is the standard Power BI what-if pattern.</w:t>
      </w:r>
    </w:p>
    <w:p>
      <w:pPr>
        <w:pStyle w:val="Heading1"/>
      </w:pPr>
      <w:r>
        <w:rPr>
          <w:rFonts w:ascii="Calibri" w:hAnsi="Calibri"/>
          <w:color w:val="1F3864"/>
        </w:rPr>
        <w:t>3.  Importing the data</w:t>
      </w:r>
    </w:p>
    <w:p>
      <w:pPr>
        <w:pStyle w:val="ListNumber"/>
      </w:pPr>
      <w:r>
        <w:t>Open Power BI Desktop → Home → Get Data → Text/CSV.</w:t>
      </w:r>
    </w:p>
    <w:p>
      <w:pPr>
        <w:pStyle w:val="ListNumber"/>
      </w:pPr>
      <w:r>
        <w:t>Import each file in data\ . On the preview, confirm data types: balances/rates = Decimal, dates = Date, IDs/bands = Text. Click Load.</w:t>
      </w:r>
    </w:p>
    <w:p>
      <w:pPr>
        <w:pStyle w:val="ListNumber"/>
      </w:pPr>
      <w:r>
        <w:t>Repeat for all CSVs. In Model view, build the relationships from section 2.</w:t>
      </w:r>
    </w:p>
    <w:p>
      <w:pPr>
        <w:pStyle w:val="ListNumber"/>
      </w:pPr>
      <w:r>
        <w:t>Mark DateTable as a date table: right-click DateTable → Mark as date table → Date column.</w:t>
      </w:r>
    </w:p>
    <w:p>
      <w:pPr>
        <w:pStyle w:val="ListNumber"/>
      </w:pPr>
      <w:r>
        <w:t>Create an empty "_Measures" table (Home → Enter Data → Load) to hold all measures.</w:t>
      </w:r>
    </w:p>
    <w:p>
      <w:pPr>
        <w:pStyle w:val="ListNumber"/>
      </w:pPr>
      <w:r>
        <w:t>Open DAX_Measures.txt, and add each measure via Modeling → New Measure (paste formula).</w:t>
      </w:r>
    </w:p>
    <w:p>
      <w:pPr>
        <w:pStyle w:val="Heading1"/>
      </w:pPr>
      <w:r>
        <w:rPr>
          <w:rFonts w:ascii="Calibri" w:hAnsi="Calibri"/>
          <w:color w:val="1F3864"/>
        </w:rPr>
        <w:t>4.  Stress-testing what-if parameters</w:t>
      </w:r>
    </w:p>
    <w:p>
      <w:pPr>
        <w:spacing w:after="120"/>
      </w:pPr>
      <w:r>
        <w:rPr>
          <w:b w:val="0"/>
          <w:i w:val="0"/>
          <w:sz w:val="21"/>
        </w:rPr>
        <w:t>You can either import the Scenario_*.csv tables (already provided) and build slicers on them, or recreate them natively. To use the supplied tables:</w:t>
      </w:r>
    </w:p>
    <w:p>
      <w:pPr>
        <w:pStyle w:val="ListNumber"/>
      </w:pPr>
      <w:r>
        <w:t>Add a Slicer visual for each: Scenario_HPI[HPI_Shock_pct], Scenario_CDR[CDR_Multiplier], Scenario_Severity[Severity_Multiplier], Scenario_CPR[CPR_Assumption_pct].</w:t>
      </w:r>
    </w:p>
    <w:p>
      <w:pPr>
        <w:pStyle w:val="ListNumber"/>
      </w:pPr>
      <w:r>
        <w:t>Set each slicer to "Single select" (Format → Selection controls).</w:t>
      </w:r>
    </w:p>
    <w:p>
      <w:pPr>
        <w:pStyle w:val="ListNumber"/>
      </w:pPr>
      <w:r>
        <w:t>The stress measures (Stressed WA Current LTV, % Underwater (stressed), Stressed Expected Loss, Stressed Loss Rate, Loss vs Credit Support) automatically respond to the slicers.</w:t>
      </w:r>
    </w:p>
    <w:p>
      <w:pPr>
        <w:spacing w:after="120"/>
      </w:pPr>
      <w:r>
        <w:rPr>
          <w:b w:val="0"/>
          <w:i w:val="0"/>
          <w:sz w:val="20"/>
        </w:rPr>
        <w:t>Default assumptions (editable in the DAX): performing loans 2% lifetime PD, 1m arrears 8%, 2–3m 25%, 3–6m 50%, 6m+ 85%. Severity is derived from the stressed loan-to-value after the HPI shock (loss given default rises as LTV exceeds 100%), floored at 10% and scaled by the severity multiplier. These are transparent, investor-adjustable inputs — not a black box.</w:t>
      </w:r>
    </w:p>
    <w:p>
      <w:pPr>
        <w:pStyle w:val="Heading1"/>
      </w:pPr>
      <w:r>
        <w:rPr>
          <w:rFonts w:ascii="Calibri" w:hAnsi="Calibri"/>
          <w:color w:val="1F3864"/>
        </w:rPr>
        <w:t>5.  Report pages (recommended layout)</w:t>
      </w:r>
    </w:p>
    <w:p>
      <w:pPr>
        <w:pStyle w:val="Heading2"/>
      </w:pPr>
      <w:r>
        <w:rPr>
          <w:rFonts w:ascii="Calibri" w:hAnsi="Calibri"/>
          <w:color w:val="1F3864"/>
        </w:rPr>
        <w:t>Page 1 — Pool Overview</w:t>
      </w:r>
    </w:p>
    <w:p>
      <w:pPr>
        <w:spacing w:after="120"/>
      </w:pPr>
      <w:r>
        <w:rPr>
          <w:b w:val="0"/>
          <w:i w:val="0"/>
          <w:sz w:val="21"/>
        </w:rPr>
        <w:t>KPI cards (top row): Current Balance, Loan Count, Pool Factor, WA Coupon, WA Current LTV, WA Seasoning (Months).</w:t>
      </w:r>
    </w:p>
    <w:p>
      <w:pPr>
        <w:pStyle w:val="ListBullet"/>
      </w:pPr>
      <w:r>
        <w:t xml:space="preserve"> Donut — Current Balance by CreditQuality (Prime / Sub Prime / Self Cert / …)</w:t>
      </w:r>
    </w:p>
    <w:p>
      <w:pPr>
        <w:pStyle w:val="ListBullet"/>
      </w:pPr>
      <w:r>
        <w:t xml:space="preserve"> Bar — Current Balance by Region; Bar — by RepaymentMethod (IO vs Repayment)</w:t>
      </w:r>
    </w:p>
    <w:p>
      <w:pPr>
        <w:pStyle w:val="ListBullet"/>
      </w:pPr>
      <w:r>
        <w:t xml:space="preserve"> 100% stacked bar — Occupancy (Owner-Occupied vs Buy-to-Let)</w:t>
      </w:r>
    </w:p>
    <w:p>
      <w:pPr>
        <w:pStyle w:val="ListBullet"/>
      </w:pPr>
      <w:r>
        <w:t xml:space="preserve"> Column — Current Balance by VintageYear (origination concentration)</w:t>
      </w:r>
    </w:p>
    <w:p>
      <w:pPr>
        <w:pStyle w:val="ListBullet"/>
      </w:pPr>
      <w:r>
        <w:t xml:space="preserve"> Slicers: Region, CreditQuality, IsInterestOnly, IsBTL, LTVBand</w:t>
      </w:r>
    </w:p>
    <w:p>
      <w:pPr>
        <w:pStyle w:val="Heading2"/>
      </w:pPr>
      <w:r>
        <w:rPr>
          <w:rFonts w:ascii="Calibri" w:hAnsi="Calibri"/>
          <w:color w:val="1F3864"/>
        </w:rPr>
        <w:t>Page 2 — Prepayment Speeds</w:t>
      </w:r>
    </w:p>
    <w:p>
      <w:pPr>
        <w:spacing w:after="120"/>
      </w:pPr>
      <w:r>
        <w:rPr>
          <w:b w:val="0"/>
          <w:i w:val="0"/>
          <w:sz w:val="21"/>
        </w:rPr>
        <w:t>KPI cards: CPR 1M, CPR 3M, CPR 12M, PSA Equivalent, Partial Prepay SMM proxy.</w:t>
      </w:r>
    </w:p>
    <w:p>
      <w:pPr>
        <w:pStyle w:val="ListBullet"/>
      </w:pPr>
      <w:r>
        <w:t xml:space="preserve"> Line chart — CPR 1M / 3M / 12M over Period (PoolHistory vs DateTable)</w:t>
      </w:r>
    </w:p>
    <w:p>
      <w:pPr>
        <w:pStyle w:val="ListBullet"/>
      </w:pPr>
      <w:r>
        <w:t xml:space="preserve"> Line — PPR vs CPR comparison; Card — Roll-Forward CPR (active once ≥2 tapes loaded)</w:t>
      </w:r>
    </w:p>
    <w:p>
      <w:pPr>
        <w:pStyle w:val="ListBullet"/>
      </w:pPr>
      <w:r>
        <w:t xml:space="preserve"> Bar — Cumulative prepayments by Region or CreditQuality (from Loans[CumulativePrepay])</w:t>
      </w:r>
    </w:p>
    <w:p>
      <w:pPr>
        <w:spacing w:after="120"/>
      </w:pPr>
      <w:r>
        <w:rPr>
          <w:b w:val="0"/>
          <w:i/>
          <w:color w:val="595959"/>
          <w:sz w:val="21"/>
        </w:rPr>
        <w:t>Note: full CPR/PPR uses the investor-report figures already loaded; once you add a second monthly tape, the Roll-Forward CPR measure computes speeds directly from consecutive balances.</w:t>
      </w:r>
    </w:p>
    <w:p>
      <w:pPr>
        <w:pStyle w:val="Heading2"/>
      </w:pPr>
      <w:r>
        <w:rPr>
          <w:rFonts w:ascii="Calibri" w:hAnsi="Calibri"/>
          <w:color w:val="1F3864"/>
        </w:rPr>
        <w:t>Page 3 — Delinquency &amp; Arrears</w:t>
      </w:r>
    </w:p>
    <w:p>
      <w:pPr>
        <w:spacing w:after="120"/>
      </w:pPr>
      <w:r>
        <w:rPr>
          <w:b w:val="0"/>
          <w:i w:val="0"/>
          <w:sz w:val="21"/>
        </w:rPr>
        <w:t>KPI cards: % Delinquent (1m+), % 90+ DPD, % Serious Arrears (3m+), Arrears Balance.</w:t>
      </w:r>
    </w:p>
    <w:p>
      <w:pPr>
        <w:pStyle w:val="ListBullet"/>
      </w:pPr>
      <w:r>
        <w:t xml:space="preserve"> Stacked area — DelinquencyHistory by Bucket over Period (the arrears migration trend)</w:t>
      </w:r>
    </w:p>
    <w:p>
      <w:pPr>
        <w:pStyle w:val="ListBullet"/>
      </w:pPr>
      <w:r>
        <w:t xml:space="preserve"> Clustered bar — Bucket % of Pool by DelinquencyBucket (current snapshot)</w:t>
      </w:r>
    </w:p>
    <w:p>
      <w:pPr>
        <w:pStyle w:val="ListBullet"/>
      </w:pPr>
      <w:r>
        <w:t xml:space="preserve"> Matrix — Region (rows) × DelinquencyBucket (cols), values = Current Balance</w:t>
      </w:r>
    </w:p>
    <w:p>
      <w:pPr>
        <w:pStyle w:val="ListBullet"/>
      </w:pPr>
      <w:r>
        <w:t xml:space="preserve"> Scatter — CurrentLTV_pct vs MonthsInArrears, size = CurrentBalance (risk map)</w:t>
      </w:r>
    </w:p>
    <w:p>
      <w:pPr>
        <w:pStyle w:val="ListBullet"/>
      </w:pPr>
      <w:r>
        <w:t xml:space="preserve"> Slicers: CreditQuality, IsInterestOnly, Region</w:t>
      </w:r>
    </w:p>
    <w:p>
      <w:pPr>
        <w:pStyle w:val="Heading2"/>
      </w:pPr>
      <w:r>
        <w:rPr>
          <w:rFonts w:ascii="Calibri" w:hAnsi="Calibri"/>
          <w:color w:val="1F3864"/>
        </w:rPr>
        <w:t>Page 4 — Defaults &amp; Loss Severity</w:t>
      </w:r>
    </w:p>
    <w:p>
      <w:pPr>
        <w:spacing w:after="120"/>
      </w:pPr>
      <w:r>
        <w:rPr>
          <w:b w:val="0"/>
          <w:i w:val="0"/>
          <w:sz w:val="21"/>
        </w:rPr>
        <w:t>KPI cards: Loss Severity, Recovery Rate, Defaults Count, Cumulative Loss Severity, CDR Lifetime.</w:t>
      </w:r>
    </w:p>
    <w:p>
      <w:pPr>
        <w:pStyle w:val="ListBullet"/>
      </w:pPr>
      <w:r>
        <w:t xml:space="preserve"> Column — Loss Severity by Period (PoolHistory / Exits)</w:t>
      </w:r>
    </w:p>
    <w:p>
      <w:pPr>
        <w:pStyle w:val="ListBullet"/>
      </w:pPr>
      <w:r>
        <w:t xml:space="preserve"> Waterfall — Default Balance → Recoveries → Loss on Sale</w:t>
      </w:r>
    </w:p>
    <w:p>
      <w:pPr>
        <w:pStyle w:val="ListBullet"/>
      </w:pPr>
      <w:r>
        <w:t xml:space="preserve"> Table — defaulted loans (Exits): DefaultBalance, SalePrice, LossOnSale, LossSeverity</w:t>
      </w:r>
    </w:p>
    <w:p>
      <w:pPr>
        <w:pStyle w:val="ListBullet"/>
      </w:pPr>
      <w:r>
        <w:t xml:space="preserve"> Bar — Default/loss exposure by Region and CreditQuality</w:t>
      </w:r>
    </w:p>
    <w:p>
      <w:pPr>
        <w:pStyle w:val="Heading2"/>
      </w:pPr>
      <w:r>
        <w:rPr>
          <w:rFonts w:ascii="Calibri" w:hAnsi="Calibri"/>
          <w:color w:val="1F3864"/>
        </w:rPr>
        <w:t>Page 5 — Portfolio Stress Testing</w:t>
      </w:r>
    </w:p>
    <w:p>
      <w:pPr>
        <w:spacing w:after="120"/>
      </w:pPr>
      <w:r>
        <w:rPr>
          <w:b w:val="0"/>
          <w:i w:val="0"/>
          <w:sz w:val="21"/>
        </w:rPr>
        <w:t>Slicers (left rail): HPI Shock, CDR Multiplier, Severity Multiplier, CPR Assumption.</w:t>
      </w:r>
    </w:p>
    <w:p>
      <w:pPr>
        <w:pStyle w:val="ListBullet"/>
      </w:pPr>
      <w:r>
        <w:t xml:space="preserve"> KPI cards: Stressed WA Current LTV, % Underwater (stressed), Stressed Expected Loss, Stressed Loss Rate, Loss vs Credit Support</w:t>
      </w:r>
    </w:p>
    <w:p>
      <w:pPr>
        <w:pStyle w:val="ListBullet"/>
      </w:pPr>
      <w:r>
        <w:t xml:space="preserve"> Gauge — Stressed Expected Loss against Credit Support Below Class A (note safety buffer)</w:t>
      </w:r>
    </w:p>
    <w:p>
      <w:pPr>
        <w:pStyle w:val="ListBullet"/>
      </w:pPr>
      <w:r>
        <w:t xml:space="preserve"> Column — Stressed Loss by CreditQuality or LTVBand</w:t>
      </w:r>
    </w:p>
    <w:p>
      <w:pPr>
        <w:pStyle w:val="ListBullet"/>
      </w:pPr>
      <w:r>
        <w:t xml:space="preserve"> Line — Stressed Loss Rate across HPI Shock values (sensitivity curve; use the HPI table on the axis)</w:t>
      </w:r>
    </w:p>
    <w:p>
      <w:pPr>
        <w:spacing w:after="120"/>
      </w:pPr>
      <w:r>
        <w:rPr>
          <w:b w:val="0"/>
          <w:i w:val="0"/>
          <w:sz w:val="20"/>
        </w:rPr>
        <w:t>Reading it: if "Loss vs Credit Support" stays below 100%, modelled losses are absorbed by the junior notes (Classes B–Z) and Class A principal is protected under that scenario.</w:t>
      </w:r>
    </w:p>
    <w:p>
      <w:pPr>
        <w:pStyle w:val="Heading1"/>
      </w:pPr>
      <w:r>
        <w:rPr>
          <w:rFonts w:ascii="Calibri" w:hAnsi="Calibri"/>
          <w:color w:val="1F3864"/>
        </w:rPr>
        <w:t>6.  Metric definitions (methodology)</w:t>
      </w:r>
    </w:p>
    <w:p>
      <w:pPr>
        <w:spacing w:after="120"/>
      </w:pPr>
      <w:r>
        <w:rPr>
          <w:b w:val="0"/>
          <w:i w:val="0"/>
          <w:sz w:val="21"/>
        </w:rPr>
        <w:t>Definitions mirror the Avon Finance No.2 investor report so the dashboard is directly comparable to the trustee figures.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Pool Factor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Current balance ÷ original balance of the loan pool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WA Coupon / LTV / Seasoning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Balance-weighted average across loans (SUMX ÷ total balance)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SMM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Single Monthly Mortality = unscheduled principal ÷ beginning balance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CPR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Conditional Prepayment Rate = 1 − (1 − SMM)^12 (annualised)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PSA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CPR as % of the 100% PSA ramp (0.2%×age, capped at 6% from month 30)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Delinquency buckets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Months in arrears: ≤1, 1–2, 2–3, 3–4, 4–5, 5–6, &gt;6 (IR bands)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CDR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Constant Default Rate — annualised defaulted balance ÷ performing balance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Loss Severity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Loss on sale ÷ defaulted balance at the point of liquidation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Recovery Rate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Sale proceeds ÷ defaulted balance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Stressed Expected Loss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Σ balance × PD(arrears status) × CDR mult × severity(stressed LTV) × sev mult</w:t>
            </w:r>
          </w:p>
        </w:tc>
      </w:tr>
    </w:tbl>
    <w:p>
      <w:pPr>
        <w:pStyle w:val="Heading1"/>
      </w:pPr>
      <w:r>
        <w:rPr>
          <w:rFonts w:ascii="Calibri" w:hAnsi="Calibri"/>
          <w:color w:val="1F3864"/>
        </w:rPr>
        <w:t>7.  Monthly refresh workflow</w:t>
      </w:r>
    </w:p>
    <w:p>
      <w:pPr>
        <w:spacing w:after="120"/>
      </w:pPr>
      <w:r>
        <w:rPr>
          <w:b w:val="0"/>
          <w:i w:val="0"/>
          <w:sz w:val="21"/>
        </w:rPr>
        <w:t>The dashboard is designed to grow into a full time series. Each month:</w:t>
      </w:r>
    </w:p>
    <w:p>
      <w:pPr>
        <w:pStyle w:val="ListNumber"/>
      </w:pPr>
      <w:r>
        <w:rPr>
          <w:b/>
        </w:rPr>
        <w:t xml:space="preserve">Drop in the tape — </w:t>
      </w:r>
      <w:r>
        <w:t>Save the new tape (same format) into the Issuers\Avon folder.</w:t>
      </w:r>
    </w:p>
    <w:p>
      <w:pPr>
        <w:pStyle w:val="ListNumber"/>
      </w:pPr>
      <w:r>
        <w:rPr>
          <w:b/>
        </w:rPr>
        <w:t xml:space="preserve">Run the pipeline — </w:t>
      </w:r>
      <w:r>
        <w:t>python prep_rmbs.py --tape "AF2_Monthly_Data_Tape_&lt;Month&gt;.xlsx" --out "./data"  (omit --seed-reference after the first run).</w:t>
      </w:r>
    </w:p>
    <w:p>
      <w:pPr>
        <w:pStyle w:val="ListNumber"/>
      </w:pPr>
      <w:r>
        <w:rPr>
          <w:b/>
        </w:rPr>
        <w:t xml:space="preserve">Auto-append — </w:t>
      </w:r>
      <w:r>
        <w:t>It overwrites Loans.csv / Exits.csv with the latest snapshot and appends a new dated row to PoolHistory.csv and DelinquencyHistory.csv.</w:t>
      </w:r>
    </w:p>
    <w:p>
      <w:pPr>
        <w:pStyle w:val="ListNumber"/>
      </w:pPr>
      <w:r>
        <w:rPr>
          <w:b/>
        </w:rPr>
        <w:t xml:space="preserve">Refresh — </w:t>
      </w:r>
      <w:r>
        <w:t>In Power BI, click Home → Refresh. New period appears in every trend chart automatically.</w:t>
      </w:r>
    </w:p>
    <w:p>
      <w:pPr>
        <w:spacing w:after="120"/>
      </w:pPr>
      <w:r>
        <w:rPr>
          <w:b w:val="0"/>
          <w:i/>
          <w:color w:val="595959"/>
          <w:sz w:val="21"/>
        </w:rPr>
        <w:t>After two or more tapes are loaded, the Roll-Forward CPR measure produces prepayment speeds computed directly from your own consecutive balances — no reliance on reported figures.</w:t>
      </w:r>
    </w:p>
    <w:p>
      <w:pPr>
        <w:pStyle w:val="Heading1"/>
      </w:pPr>
      <w:r>
        <w:rPr>
          <w:rFonts w:ascii="Calibri" w:hAnsi="Calibri"/>
          <w:color w:val="1F3864"/>
        </w:rPr>
        <w:t>8.  Data notes &amp; caveats</w:t>
      </w:r>
    </w:p>
    <w:p>
      <w:pPr>
        <w:pStyle w:val="ListBullet"/>
      </w:pPr>
      <w:r>
        <w:rPr>
          <w:b/>
        </w:rPr>
        <w:t xml:space="preserve">Snapshot basis. </w:t>
      </w:r>
      <w:r>
        <w:t>The current model is built from one tape (31-Oct-2020): 8,312 loans, £846.6m current balance, WA coupon 2.64%, WA current LTV 75.8%, WA seasoning ~167 months, 82% interest-only, 24% BTL.</w:t>
      </w:r>
    </w:p>
    <w:p>
      <w:pPr>
        <w:pStyle w:val="ListBullet"/>
      </w:pPr>
      <w:r>
        <w:rPr>
          <w:b/>
        </w:rPr>
        <w:t xml:space="preserve">Seeded trend. </w:t>
      </w:r>
      <w:r>
        <w:t>PoolHistory and DelinquencyHistory are seeded with two investor-report periods (Dec-2022, Feb-2023) tagged Source = "Investor Report" so trend charts are populated immediately. A Source slicer lets you separate computed-from-tape values from reported figures.</w:t>
      </w:r>
    </w:p>
    <w:p>
      <w:pPr>
        <w:pStyle w:val="ListBullet"/>
      </w:pPr>
      <w:r>
        <w:rPr>
          <w:b/>
        </w:rPr>
        <w:t xml:space="preserve">Prepay timing. </w:t>
      </w:r>
      <w:r>
        <w:t>Redeemed loans leave the tape, so a precise one-month CPR needs two consecutive tapes; the current period shows reported CPR plus a partial-prepayment SMM proxy from field AR97.</w:t>
      </w:r>
    </w:p>
    <w:p>
      <w:pPr>
        <w:pStyle w:val="ListBullet"/>
      </w:pPr>
      <w:r>
        <w:rPr>
          <w:b/>
        </w:rPr>
        <w:t xml:space="preserve">Small-sample losses. </w:t>
      </w:r>
      <w:r>
        <w:t>Loss severity in the snapshot rests on the two liquidations in the period (26% and 35%); cumulative reported severity is 16.6%. Severity statistics stabilise as exits accumulate.</w:t>
      </w:r>
    </w:p>
    <w:p>
      <w:pPr>
        <w:pStyle w:val="ListBullet"/>
      </w:pPr>
      <w:r>
        <w:rPr>
          <w:b/>
        </w:rPr>
        <w:t xml:space="preserve">Tranche dating. </w:t>
      </w:r>
      <w:r>
        <w:t>Capital structure figures are from the Feb-2023 investor report and are a later date than the loan tape; treat the tranche table as structural reference, not a same-date reconciliation.</w:t>
      </w:r>
    </w:p>
    <w:p/>
    <w:p>
      <w:pPr>
        <w:jc w:val="center"/>
      </w:pPr>
      <w:r>
        <w:rPr>
          <w:i/>
          <w:color w:val="595959"/>
          <w:sz w:val="17"/>
        </w:rPr>
        <w:t>Built from Avon Finance No.2 loan-level data (31-Oct-2020) and quarterly investor report (28-Feb-2023).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