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 Analytics with AI</w:t>
      </w:r>
    </w:p>
    <w:p>
      <w:pPr>
        <w:spacing w:after="100"/>
        <w:jc w:val="center"/>
      </w:pPr>
      <w:r>
        <w:t xml:space="preserve">Combined Project Report — Masterclass 1 to 4</w:t>
      </w:r>
    </w:p>
    <w:p>
      <w:pPr>
        <w:spacing w:after="400"/>
        <w:jc w:val="center"/>
      </w:pPr>
      <w:r>
        <w:t xml:space="preserve">AICTE | IBM SkillsBuild Internship 2026 — BharatCares</w:t>
      </w:r>
    </w:p>
    <w:p>
      <w:pPr>
        <w:pStyle w:val="Heading1"/>
      </w:pPr>
      <w:r>
        <w:t xml:space="preserve">1. Project Overview</w:t>
      </w:r>
    </w:p>
    <w:p>
      <w:pPr>
        <w:spacing w:after="150"/>
      </w:pPr>
      <w:r>
        <w:t xml:space="preserve">This project follows the full data-analyst workflow taught across four masterclasses: turning raw e-commerce data into a clean dataset, exploring it for business insights, building a churn-prediction model, and analyzing a separate retail dataset for business decisions.</w:t>
      </w:r>
    </w:p>
    <w:p>
      <w:pPr>
        <w:pStyle w:val="Heading1"/>
      </w:pPr>
      <w:r>
        <w:t xml:space="preserve">2. Masterclass 1 — Data Cleaning</w:t>
      </w:r>
    </w:p>
    <w:p>
      <w:pPr>
        <w:spacing w:after="150"/>
      </w:pPr>
      <w:r>
        <w:t xml:space="preserve">The raw dataset (2,000 transactions) contained impossible dates, mixed currency formatting, negative quantities, inconsistent region/category casing, duplicates, and missing values. After cleaning: 1,926 valid transaction rows remained.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Removed 23 exact duplicate rows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Dropped 24 rows with impossible/unreadable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Standardized region and category text casing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Stripped currency symbols/text from Revenue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Corrected negative quantities; filled missing values with median/group-median</w:t>
      </w:r>
    </w:p>
    <w:p>
      <w:pPr>
        <w:spacing w:after="150"/>
      </w:pPr>
      <w:r>
        <w:t xml:space="preserve">Deliverables: a clean dataset, a full data dictionary (9 original + 6 derived columns), and a 5-question business shortlist spanning Sales, Product, Customer, and Region.</w:t>
      </w:r>
    </w:p>
    <w:p>
      <w:pPr>
        <w:pStyle w:val="Heading1"/>
      </w:pPr>
      <w:r>
        <w:t xml:space="preserve">3. Masterclass 2 — Exploratory Data Analysis</w:t>
      </w:r>
    </w:p>
    <w:p>
      <w:pPr>
        <w:spacing w:after="150"/>
      </w:pPr>
      <w:r>
        <w:t xml:space="preserve">Key findings from the 5 required visualizations: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Highest revenue month: April 2026 (₹14,257,198); lowest: September 2026 (₹2,671,823)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Electronics is the dominant category (₹58,999,410), more than 3x the next category, Furniture (₹18,472,291)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Repeat customers made up 325 of 413 unique customers (~79%), against 88 new customers</w:t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Insights were framed as associations, not proven causes (e.g. "Electronics dependency is associated with revenue concentration risk"), with hypotheses phrased using may/might/could, and recommendations tied directly to each insight — following the association-vs-causation discipline from the masterclass.</w:t>
      </w:r>
    </w:p>
    <w:p>
      <w:pPr>
        <w:pStyle w:val="Heading1"/>
      </w:pPr>
      <w:r>
        <w:t xml:space="preserve">4. Masterclass 3 — Churn Prediction Model</w:t>
      </w:r>
    </w:p>
    <w:p>
      <w:pPr>
        <w:spacing w:after="150"/>
      </w:pPr>
      <w:r>
        <w:t xml:space="preserve">RFM (Recency, Frequency, Monetary) features were built from a historical window (before 1 June 2026), while the churn label was computed from a later window — keeping the model leakage-safe, since the label was never derived from the features themselves.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Churned customers were defined as those with no purchase at all in the future window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logistic regression model (class-weight balanced) was trained on Recency, Frequency, Monetary, and Avg Order Value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Test-set performance: Accuracy 58.90%, Precision 34.29%, Recall 63.16%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Confusion matrix: 31 true negatives, 23 false positives, 7 false negatives, 12 true positives</w:t>
      </w:r>
    </w:p>
    <w:p>
      <w:pPr>
        <w:spacing w:after="150"/>
      </w:pPr>
      <w:r>
        <w:t xml:space="preserve">The trained model was then applied to the full customer base to produce a churn-probability score and a Low/Medium/High risk label for every customer: 120 Low Risk, 219 Medium Risk, and 22 High Risk.</w:t>
      </w:r>
    </w:p>
    <w:p>
      <w:pPr>
        <w:spacing w:after="200"/>
        <w:jc w:val="center"/>
      </w:pPr>
      <w: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Masterclass 4 — Supermarket Sales Analysis</w:t>
      </w:r>
    </w:p>
    <w:p>
      <w:pPr>
        <w:spacing w:after="150"/>
      </w:pPr>
      <w:r>
        <w:t xml:space="preserve">A separate 500-transaction supermarket dataset was analyzed to answer 6 specific business questions: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Highest-selling product: Cheese (₹27,906.30)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Best-performing branch: Branch C, Mumbai (₹72,469.45)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Top category: Beverages (₹56,108.24)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Most popular payment method: UPI (127 transactions)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Member vs. Normal average spend: ₹483.14 vs. ₹497.07 — essentially no difference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Average customer rating: 3.99 / 5</w:t>
      </w:r>
    </w:p>
    <w:p>
      <w:pPr>
        <w:spacing w:after="2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Overall Business Decisions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Stock more of the top-performing products and categories across both datasets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Investigate why certain months/branches outperform others and replicate what's 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cash reserves and off-peak campaigns to smooth revenue volatility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the churn risk table to prioritize retention outreach for High and Medium risk customers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Audit product catalogs to eliminate blank/unlabeled SKUs that obscure true performance</w:t>
      </w:r>
    </w:p>
    <w:p>
      <w:pPr>
        <w:pStyle w:val="Heading1"/>
      </w:pPr>
      <w:r>
        <w:t xml:space="preserve">7. Conclusion</w:t>
      </w:r>
    </w:p>
    <w:p>
      <w:pPr>
        <w:spacing w:after="150"/>
      </w:pPr>
      <w:r>
        <w:t xml:space="preserve">Across all four stages — cleaning, exploration, prediction, and business analysis — this project demonstrates the complete data-analyst workflow: converting messy raw data into a trustworthy foundation, extracting insights disciplined by the association-vs-causation principle, building a leakage-safe predictive model, and translating outputs into concrete, realistic business 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3b82026730347bac6f36490ff9bee843703f2.png"/><Relationship Id="rId8" Type="http://schemas.openxmlformats.org/officeDocument/2006/relationships/image" Target="media/b234f0a7b6bb1140da163ea354908e20ce5d0944.png"/><Relationship Id="rId9" Type="http://schemas.openxmlformats.org/officeDocument/2006/relationships/image" Target="media/78989f0060fffb186dd889dd8bc01d6de967f04f.png"/><Relationship Id="rId10" Type="http://schemas.openxmlformats.org/officeDocument/2006/relationships/image" Target="media/46e9bd975b112a63a54694e38df40fff94c1f016.png"/><Relationship Id="rId11" Type="http://schemas.openxmlformats.org/officeDocument/2006/relationships/image" Target="media/a6c3f5043fb996b798899e8b7fe7712e9ea8ac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2026-09-24T04:12:11.632Z</dcterms:created>
  <dcterms:modified xsi:type="dcterms:W3CDTF">2026-09-24T04:12:11.642Z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