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100" w:before="400"/>
        <w:jc w:val="center"/>
      </w:pPr>
      <w:r>
        <w:rPr>
          <w:rFonts w:ascii="Arial" w:cs="Arial" w:eastAsia="Arial" w:hAnsi="Arial"/>
          <w:b/>
          <w:bCs/>
          <w:caps/>
          <w:color w:val="9945FF"/>
          <w:sz w:val="22"/>
          <w:szCs w:val="22"/>
        </w:rPr>
        <w:t xml:space="preserve">⚡  CAPSTONE PROJECT DOCUMENTATION</w:t>
      </w:r>
    </w:p>
    <w:p>
      <w:pPr>
        <w:pBdr>
          <w:top w:val="single" w:color="9945FF" w:sz="6" w:space="8"/>
          <w:bottom w:val="single" w:color="14F195" w:sz="6" w:space="8"/>
        </w:pBdr>
        <w:spacing w:after="60" w:before="100"/>
        <w:jc w:val="center"/>
      </w:pPr>
      <w:r>
        <w:rPr>
          <w:rFonts w:ascii="Arial" w:cs="Arial" w:eastAsia="Arial" w:hAnsi="Arial"/>
          <w:b/>
          <w:bCs/>
          <w:color w:val="1A1A2E"/>
          <w:sz w:val="80"/>
          <w:szCs w:val="80"/>
        </w:rPr>
        <w:t xml:space="preserve">SolUPI</w:t>
      </w:r>
    </w:p>
    <w:p>
      <w:pPr>
        <w:spacing w:after="60" w:before="60"/>
        <w:jc w:val="center"/>
      </w:pPr>
      <w:r>
        <w:rPr>
          <w:rFonts w:ascii="Arial" w:cs="Arial" w:eastAsia="Arial" w:hAnsi="Arial"/>
          <w:i/>
          <w:iCs/>
          <w:color w:val="7B2FBE"/>
          <w:sz w:val="32"/>
          <w:szCs w:val="32"/>
        </w:rPr>
        <w:t xml:space="preserve">UPI to Solana On-Ramp Bridge</w:t>
      </w:r>
    </w:p>
    <w:p>
      <w:pPr>
        <w:spacing w:after="100" w:before="100"/>
      </w:pPr>
    </w:p>
    <w:p>
      <w:pPr>
        <w:spacing w:after="80" w:before="80"/>
        <w:jc w:val="center"/>
      </w:pPr>
      <w:r>
        <w:rPr>
          <w:rFonts w:ascii="Arial" w:cs="Arial" w:eastAsia="Arial" w:hAnsi="Arial"/>
          <w:i/>
          <w:iCs/>
          <w:color w:val="666666"/>
          <w:sz w:val="24"/>
          <w:szCs w:val="24"/>
        </w:rPr>
        <w:t xml:space="preserve">Bridging the gap between Fiat and Crypto with the speed of Solana</w:t>
      </w:r>
    </w:p>
    <w:p>
      <w:pPr>
        <w:spacing w:after="200" w:before="40"/>
        <w:jc w:val="center"/>
      </w:pPr>
      <w:r>
        <w:rPr>
          <w:rFonts w:ascii="Arial" w:cs="Arial" w:eastAsia="Arial" w:hAnsi="Arial"/>
          <w:i/>
          <w:iCs/>
          <w:color w:val="666666"/>
          <w:sz w:val="24"/>
          <w:szCs w:val="24"/>
        </w:rPr>
        <w:t xml:space="preserve">and the convenience of UPI.</w:t>
      </w:r>
    </w:p>
    <w:p>
      <w:pPr>
        <w:spacing w:after="8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pPr>
              <w:jc w:val="center"/>
            </w:pPr>
            <w:r>
              <w:rPr>
                <w:rFonts w:ascii="Arial" w:cs="Arial" w:eastAsia="Arial" w:hAnsi="Arial"/>
                <w:b/>
                <w:bCs/>
                <w:color w:val="7B2FBE"/>
                <w:sz w:val="20"/>
                <w:szCs w:val="20"/>
              </w:rPr>
              <w:t xml:space="preserve">🌐  Frontend</w:t>
            </w:r>
          </w:p>
          <w:p>
            <w:pPr>
              <w:jc w:val="center"/>
            </w:pPr>
            <w:r>
              <w:rPr>
                <w:rFonts w:ascii="Arial" w:cs="Arial" w:eastAsia="Arial" w:hAnsi="Arial"/>
                <w:color w:val="9945FF"/>
                <w:sz w:val="18"/>
                <w:szCs w:val="18"/>
              </w:rPr>
              <w:t xml:space="preserve">sol-upi-v2.vercel.app</w:t>
            </w:r>
          </w:p>
        </w:tc>
        <w:tc>
          <w:tcPr>
            <w:tcW w:type="dxa" w:w="3600"/>
            <w:tcBorders>
              <w:top w:val="single" w:color="CCCCCC" w:sz="1"/>
              <w:left w:val="single" w:color="CCCCCC" w:sz="1"/>
              <w:bottom w:val="single" w:color="CCCCCC" w:sz="1"/>
              <w:right w:val="single" w:color="CCCCCC" w:sz="1"/>
            </w:tcBorders>
            <w:shd w:fill="E6FFF6" w:val="clear"/>
            <w:tcMar>
              <w:top w:type="dxa" w:w="100"/>
              <w:left w:type="dxa" w:w="160"/>
              <w:bottom w:type="dxa" w:w="100"/>
              <w:right w:type="dxa" w:w="160"/>
            </w:tcMar>
          </w:tcPr>
          <w:p>
            <w:pPr>
              <w:jc w:val="center"/>
            </w:pPr>
            <w:r>
              <w:rPr>
                <w:rFonts w:ascii="Arial" w:cs="Arial" w:eastAsia="Arial" w:hAnsi="Arial"/>
                <w:b/>
                <w:bCs/>
                <w:color w:val="7B2FBE"/>
                <w:sz w:val="20"/>
                <w:szCs w:val="20"/>
              </w:rPr>
              <w:t xml:space="preserve">⚙️  Backend</w:t>
            </w:r>
          </w:p>
          <w:p>
            <w:pPr>
              <w:jc w:val="center"/>
            </w:pPr>
            <w:r>
              <w:rPr>
                <w:rFonts w:ascii="Arial" w:cs="Arial" w:eastAsia="Arial" w:hAnsi="Arial"/>
                <w:color w:val="9945FF"/>
                <w:sz w:val="18"/>
                <w:szCs w:val="18"/>
              </w:rPr>
              <w:t xml:space="preserve">solupi-backend.onrender.com</w:t>
            </w:r>
          </w:p>
        </w:tc>
      </w:tr>
    </w:tbl>
    <w:p>
      <w:pPr>
        <w:spacing w:after="300" w:before="300"/>
      </w:pPr>
    </w:p>
    <w:p>
      <w:pPr>
        <w:spacing w:after="60" w:before="200"/>
        <w:jc w:val="center"/>
      </w:pPr>
      <w:r>
        <w:rPr>
          <w:rFonts w:ascii="Arial" w:cs="Arial" w:eastAsia="Arial" w:hAnsi="Arial"/>
          <w:b/>
          <w:bCs/>
          <w:color w:val="1A1A2E"/>
          <w:sz w:val="24"/>
          <w:szCs w:val="24"/>
        </w:rPr>
        <w:t xml:space="preserve">Department of Computer Science &amp; Engineering</w:t>
      </w:r>
    </w:p>
    <w:p>
      <w:pPr>
        <w:spacing w:after="200" w:before="40"/>
        <w:jc w:val="center"/>
      </w:pPr>
      <w:r>
        <w:rPr>
          <w:rFonts w:ascii="Arial" w:cs="Arial" w:eastAsia="Arial" w:hAnsi="Arial"/>
          <w:color w:val="666666"/>
          <w:sz w:val="22"/>
          <w:szCs w:val="22"/>
        </w:rPr>
        <w:t xml:space="preserve">Academic Year 2024–2025</w:t>
      </w:r>
    </w:p>
    <w:p>
      <w:pPr>
        <w:spacing w:after="100" w:before="200"/>
      </w:pPr>
    </w:p>
    <w:p>
      <w:pPr>
        <w:spacing w:after="200" w:before="100"/>
        <w:jc w:val="center"/>
      </w:pPr>
      <w:r>
        <w:rPr>
          <w:rFonts w:ascii="Arial" w:cs="Arial" w:eastAsia="Arial" w:hAnsi="Arial"/>
          <w:b/>
          <w:bCs/>
          <w:color w:val="FFFFFF"/>
          <w:sz w:val="26"/>
          <w:szCs w:val="26"/>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500"/>
        <w:gridCol w:w="2940"/>
      </w:tblGrid>
      <w:tr>
        <w:trPr>
          <w:tblHeader/>
        </w:trPr>
        <w:tc>
          <w:tcPr>
            <w:tcW w:type="dxa" w:w="72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S.No</w:t>
            </w:r>
          </w:p>
        </w:tc>
        <w:tc>
          <w:tcPr>
            <w:tcW w:type="dxa" w:w="220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Enrollment No.</w:t>
            </w:r>
          </w:p>
        </w:tc>
        <w:tc>
          <w:tcPr>
            <w:tcW w:type="dxa" w:w="350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Name</w:t>
            </w:r>
          </w:p>
        </w:tc>
        <w:tc>
          <w:tcPr>
            <w:tcW w:type="dxa" w:w="294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Role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2401020041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Naveen Kumar</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Lead Developer / Blockchain</w:t>
            </w:r>
          </w:p>
        </w:tc>
      </w:tr>
      <w:tr>
        <w:tc>
          <w:tcPr>
            <w:tcW w:type="dxa" w:w="72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2</w:t>
            </w:r>
          </w:p>
        </w:tc>
        <w:tc>
          <w:tcPr>
            <w:tcW w:type="dxa" w:w="22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2401020097</w:t>
            </w:r>
          </w:p>
        </w:tc>
        <w:tc>
          <w:tcPr>
            <w:tcW w:type="dxa" w:w="35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Krish Garg</w:t>
            </w:r>
          </w:p>
        </w:tc>
        <w:tc>
          <w:tcPr>
            <w:tcW w:type="dxa" w:w="294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Backend Architecture / Design Patterns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2401010321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Parul</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Frontend Developer / UI/UX</w:t>
            </w:r>
          </w:p>
        </w:tc>
      </w:tr>
      <w:tr>
        <w:tc>
          <w:tcPr>
            <w:tcW w:type="dxa" w:w="72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4</w:t>
            </w:r>
          </w:p>
        </w:tc>
        <w:tc>
          <w:tcPr>
            <w:tcW w:type="dxa" w:w="22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2401010032</w:t>
            </w:r>
          </w:p>
        </w:tc>
        <w:tc>
          <w:tcPr>
            <w:tcW w:type="dxa" w:w="35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Aditya Raj</w:t>
            </w:r>
          </w:p>
        </w:tc>
        <w:tc>
          <w:tcPr>
            <w:tcW w:type="dxa" w:w="294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Database Design / ORM</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2401020084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Akhil Sharma</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DevOps / Deployment</w:t>
            </w:r>
          </w:p>
        </w:tc>
      </w:tr>
      <w:tr>
        <w:tc>
          <w:tcPr>
            <w:tcW w:type="dxa" w:w="72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6</w:t>
            </w:r>
          </w:p>
        </w:tc>
        <w:tc>
          <w:tcPr>
            <w:tcW w:type="dxa" w:w="22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2401010079</w:t>
            </w:r>
          </w:p>
        </w:tc>
        <w:tc>
          <w:tcPr>
            <w:tcW w:type="dxa" w:w="35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Ansh Tomar</w:t>
            </w:r>
          </w:p>
        </w:tc>
        <w:tc>
          <w:tcPr>
            <w:tcW w:type="dxa" w:w="294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Email Parsing / Automation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2401010359</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Punit</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Testing / Documentation</w:t>
            </w:r>
          </w:p>
        </w:tc>
      </w:tr>
    </w:tbl>
    <w:p>
      <w:pPr>
        <w:spacing w:after="200" w:before="300"/>
      </w:pPr>
    </w:p>
    <w:p>
      <w:pPr>
        <w:spacing w:after="80" w:before="200"/>
        <w:jc w:val="center"/>
      </w:pPr>
      <w:r>
        <w:rPr>
          <w:rFonts w:ascii="Arial" w:cs="Arial" w:eastAsia="Arial" w:hAnsi="Arial"/>
          <w:b/>
          <w:bCs/>
          <w:color w:val="666666"/>
          <w:sz w:val="20"/>
          <w:szCs w:val="20"/>
        </w:rPr>
        <w:t xml:space="preserve">Tech Stack:  </w:t>
      </w:r>
      <w:r>
        <w:rPr>
          <w:rFonts w:ascii="Arial" w:cs="Arial" w:eastAsia="Arial" w:hAnsi="Arial"/>
          <w:color w:val="9945FF"/>
          <w:sz w:val="20"/>
          <w:szCs w:val="20"/>
        </w:rPr>
        <w:t xml:space="preserve">Solana  |  Next.js  |  TypeScript  |  Node.js  |  PostgreSQL  |  Prisma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9945FF" w:sz="4" w:space="4"/>
        </w:pBdr>
        <w:spacing w:after="160" w:before="320"/>
      </w:pPr>
      <w:r>
        <w:rPr>
          <w:rFonts w:ascii="Arial" w:cs="Arial" w:eastAsia="Arial" w:hAnsi="Arial"/>
          <w:b/>
          <w:bCs/>
          <w:color w:val="1A1A2E"/>
          <w:sz w:val="32"/>
          <w:szCs w:val="32"/>
        </w:rPr>
        <w:t xml:space="preserve">1. Project Overview</w:t>
      </w:r>
    </w:p>
    <w:p>
      <w:pPr>
        <w:spacing w:after="80" w:before="60"/>
      </w:pPr>
      <w:r>
        <w:rPr>
          <w:rFonts w:ascii="Arial" w:cs="Arial" w:eastAsia="Arial" w:hAnsi="Arial"/>
          <w:color w:val="1A1A2E"/>
          <w:sz w:val="22"/>
          <w:szCs w:val="22"/>
        </w:rPr>
        <w:t xml:space="preserve">SolUPI is a decentralized on-ramp application that enables Indian users to purchase USDC directly using UPI — India's primary payment rail — and receive it on the Solana blockchain. The system eliminates intermediaries, reduces settlement time to seconds, and is fully non-custodial.</w:t>
      </w:r>
    </w:p>
    <w:p>
      <w:pPr>
        <w:spacing w:after="80" w:before="80"/>
      </w:pPr>
    </w:p>
    <w:p>
      <w:pPr>
        <w:pStyle w:val="Heading2"/>
        <w:spacing w:after="120" w:before="240"/>
      </w:pPr>
      <w:r>
        <w:rPr>
          <w:rFonts w:ascii="Arial" w:cs="Arial" w:eastAsia="Arial" w:hAnsi="Arial"/>
          <w:b/>
          <w:bCs/>
          <w:color w:val="7B2FBE"/>
          <w:sz w:val="26"/>
          <w:szCs w:val="26"/>
        </w:rPr>
        <w:t xml:space="preserve">1.1  The Problem</w:t>
      </w:r>
    </w:p>
    <w:p>
      <w:pPr>
        <w:spacing w:after="80" w:before="60"/>
      </w:pPr>
      <w:r>
        <w:rPr>
          <w:rFonts w:ascii="Arial" w:cs="Arial" w:eastAsia="Arial" w:hAnsi="Arial"/>
          <w:color w:val="1A1A2E"/>
          <w:sz w:val="22"/>
          <w:szCs w:val="22"/>
        </w:rPr>
        <w:t xml:space="preserve">The current crypto on-ramping ecosystem forces users to navigate significant pain points:</w:t>
      </w:r>
    </w:p>
    <w:p>
      <w:pPr>
        <w:pStyle w:val="ListParagraph"/>
        <w:numPr>
          <w:ilvl w:val="0"/>
          <w:numId w:val="2"/>
        </w:numPr>
        <w:spacing w:after="40" w:before="40"/>
      </w:pPr>
      <w:r>
        <w:rPr>
          <w:rFonts w:ascii="Arial" w:cs="Arial" w:eastAsia="Arial" w:hAnsi="Arial"/>
          <w:color w:val="1A1A2E"/>
          <w:sz w:val="22"/>
          <w:szCs w:val="22"/>
        </w:rPr>
        <w:t xml:space="preserve">P2P Exchanges: High risk of scams and slow, manual settlement times.</w:t>
      </w:r>
    </w:p>
    <w:p>
      <w:pPr>
        <w:pStyle w:val="ListParagraph"/>
        <w:numPr>
          <w:ilvl w:val="0"/>
          <w:numId w:val="2"/>
        </w:numPr>
        <w:spacing w:after="40" w:before="40"/>
      </w:pPr>
      <w:r>
        <w:rPr>
          <w:rFonts w:ascii="Arial" w:cs="Arial" w:eastAsia="Arial" w:hAnsi="Arial"/>
          <w:color w:val="1A1A2E"/>
          <w:sz w:val="22"/>
          <w:szCs w:val="22"/>
        </w:rPr>
        <w:t xml:space="preserve">Centralized Exchanges: High fees, strict KYC requirements, and custodial risks.</w:t>
      </w:r>
    </w:p>
    <w:p>
      <w:pPr>
        <w:pStyle w:val="ListParagraph"/>
        <w:numPr>
          <w:ilvl w:val="0"/>
          <w:numId w:val="2"/>
        </w:numPr>
        <w:spacing w:after="40" w:before="40"/>
      </w:pPr>
      <w:r>
        <w:rPr>
          <w:rFonts w:ascii="Arial" w:cs="Arial" w:eastAsia="Arial" w:hAnsi="Arial"/>
          <w:color w:val="1A1A2E"/>
          <w:sz w:val="22"/>
          <w:szCs w:val="22"/>
        </w:rPr>
        <w:t xml:space="preserve">No Direct UPI Access: No seamless way to use UPI to purchase crypto directly.</w:t>
      </w:r>
    </w:p>
    <w:p>
      <w:pPr>
        <w:spacing w:after="80" w:before="80"/>
      </w:pPr>
    </w:p>
    <w:p>
      <w:pPr>
        <w:pStyle w:val="Heading2"/>
        <w:spacing w:after="120" w:before="240"/>
      </w:pPr>
      <w:r>
        <w:rPr>
          <w:rFonts w:ascii="Arial" w:cs="Arial" w:eastAsia="Arial" w:hAnsi="Arial"/>
          <w:b/>
          <w:bCs/>
          <w:color w:val="7B2FBE"/>
          <w:sz w:val="26"/>
          <w:szCs w:val="26"/>
        </w:rPr>
        <w:t xml:space="preserve">1.2  The Solution</w:t>
      </w:r>
    </w:p>
    <w:p>
      <w:pPr>
        <w:spacing w:after="80" w:before="60"/>
      </w:pPr>
      <w:r>
        <w:rPr>
          <w:rFonts w:ascii="Arial" w:cs="Arial" w:eastAsia="Arial" w:hAnsi="Arial"/>
          <w:color w:val="1A1A2E"/>
          <w:sz w:val="22"/>
          <w:szCs w:val="22"/>
        </w:rPr>
        <w:t xml:space="preserve">SolUPI automates the entire flow: a user scans a UPI QR code, completes payment in their banking app, and receives USDC in their Solana wallet — all within seconds, with zero manual intervention. Payment verification is handled by an automated IMAP email monitoring service that parses bank email receipts and matches UTR/RRN numbers.</w:t>
      </w:r>
    </w:p>
    <w:p>
      <w:pPr>
        <w:spacing w:after="80" w:before="80"/>
      </w:pPr>
    </w:p>
    <w:p>
      <w:pPr>
        <w:pStyle w:val="Heading2"/>
        <w:spacing w:after="120" w:before="240"/>
      </w:pPr>
      <w:r>
        <w:rPr>
          <w:rFonts w:ascii="Arial" w:cs="Arial" w:eastAsia="Arial" w:hAnsi="Arial"/>
          <w:b/>
          <w:bCs/>
          <w:color w:val="7B2FBE"/>
          <w:sz w:val="26"/>
          <w:szCs w:val="26"/>
        </w:rPr>
        <w:t xml:space="preserve">1.3  Key Features</w:t>
      </w:r>
    </w:p>
    <w:p>
      <w:pPr>
        <w:pStyle w:val="ListParagraph"/>
        <w:numPr>
          <w:ilvl w:val="0"/>
          <w:numId w:val="2"/>
        </w:numPr>
        <w:spacing w:after="40" w:before="40"/>
      </w:pPr>
      <w:r>
        <w:rPr>
          <w:rFonts w:ascii="Arial" w:cs="Arial" w:eastAsia="Arial" w:hAnsi="Arial"/>
          <w:color w:val="1A1A2E"/>
          <w:sz w:val="22"/>
          <w:szCs w:val="22"/>
        </w:rPr>
        <w:t xml:space="preserve">Direct UPI payment with instant QR code generation.</w:t>
      </w:r>
    </w:p>
    <w:p>
      <w:pPr>
        <w:pStyle w:val="ListParagraph"/>
        <w:numPr>
          <w:ilvl w:val="0"/>
          <w:numId w:val="2"/>
        </w:numPr>
        <w:spacing w:after="40" w:before="40"/>
      </w:pPr>
      <w:r>
        <w:rPr>
          <w:rFonts w:ascii="Arial" w:cs="Arial" w:eastAsia="Arial" w:hAnsi="Arial"/>
          <w:color w:val="1A1A2E"/>
          <w:sz w:val="22"/>
          <w:szCs w:val="22"/>
        </w:rPr>
        <w:t xml:space="preserve">Automated settlement via IMAP email monitoring and UTR/RRN matching.</w:t>
      </w:r>
    </w:p>
    <w:p>
      <w:pPr>
        <w:pStyle w:val="ListParagraph"/>
        <w:numPr>
          <w:ilvl w:val="0"/>
          <w:numId w:val="2"/>
        </w:numPr>
        <w:spacing w:after="40" w:before="40"/>
      </w:pPr>
      <w:r>
        <w:rPr>
          <w:rFonts w:ascii="Arial" w:cs="Arial" w:eastAsia="Arial" w:hAnsi="Arial"/>
          <w:color w:val="1A1A2E"/>
          <w:sz w:val="22"/>
          <w:szCs w:val="22"/>
        </w:rPr>
        <w:t xml:space="preserve">Non-custodial — funds flow directly to the user's Solana wallet.</w:t>
      </w:r>
    </w:p>
    <w:p>
      <w:pPr>
        <w:pStyle w:val="ListParagraph"/>
        <w:numPr>
          <w:ilvl w:val="0"/>
          <w:numId w:val="2"/>
        </w:numPr>
        <w:spacing w:after="40" w:before="40"/>
      </w:pPr>
      <w:r>
        <w:rPr>
          <w:rFonts w:ascii="Arial" w:cs="Arial" w:eastAsia="Arial" w:hAnsi="Arial"/>
          <w:color w:val="1A1A2E"/>
          <w:sz w:val="22"/>
          <w:szCs w:val="22"/>
        </w:rPr>
        <w:t xml:space="preserve">Transparent on-chain transaction tracking via Solana Explorer.</w:t>
      </w:r>
    </w:p>
    <w:p>
      <w:pPr>
        <w:pStyle w:val="ListParagraph"/>
        <w:numPr>
          <w:ilvl w:val="0"/>
          <w:numId w:val="2"/>
        </w:numPr>
        <w:spacing w:after="40" w:before="40"/>
      </w:pPr>
      <w:r>
        <w:rPr>
          <w:rFonts w:ascii="Arial" w:cs="Arial" w:eastAsia="Arial" w:hAnsi="Arial"/>
          <w:color w:val="1A1A2E"/>
          <w:sz w:val="22"/>
          <w:szCs w:val="22"/>
        </w:rPr>
        <w:t xml:space="preserve">13 enterprise-grade OOP design patterns across the backend.</w:t>
      </w:r>
    </w:p>
    <w:p>
      <w:pPr>
        <w:spacing w:after="100" w:before="100"/>
      </w:pPr>
    </w:p>
    <w:p>
      <w:pPr>
        <w:pStyle w:val="Heading1"/>
        <w:pBdr>
          <w:bottom w:val="single" w:color="9945FF" w:sz="4" w:space="4"/>
        </w:pBdr>
        <w:spacing w:after="160" w:before="320"/>
      </w:pPr>
      <w:r>
        <w:rPr>
          <w:rFonts w:ascii="Arial" w:cs="Arial" w:eastAsia="Arial" w:hAnsi="Arial"/>
          <w:b/>
          <w:bCs/>
          <w:color w:val="1A1A2E"/>
          <w:sz w:val="32"/>
          <w:szCs w:val="32"/>
        </w:rPr>
        <w:t xml:space="preserve">2. Tech Stack</w:t>
      </w:r>
    </w:p>
    <w:p>
      <w:pPr>
        <w:pStyle w:val="Heading2"/>
        <w:spacing w:after="120" w:before="240"/>
      </w:pPr>
      <w:r>
        <w:rPr>
          <w:rFonts w:ascii="Arial" w:cs="Arial" w:eastAsia="Arial" w:hAnsi="Arial"/>
          <w:b/>
          <w:bCs/>
          <w:color w:val="7B2FBE"/>
          <w:sz w:val="26"/>
          <w:szCs w:val="26"/>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14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Server-side rendering and routing</w:t>
            </w:r>
          </w:p>
        </w:tc>
      </w:tr>
      <w:tr>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Styling</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Tailwind CSS</w:t>
            </w:r>
          </w:p>
        </w:tc>
        <w:tc>
          <w:tcPr>
            <w:tcW w:type="dxa" w:w="4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Utility-first, responsive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Animations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Framer Motion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Smooth UI transitions</w:t>
            </w:r>
          </w:p>
        </w:tc>
      </w:tr>
      <w:tr>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Icons</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Lucide React</w:t>
            </w:r>
          </w:p>
        </w:tc>
        <w:tc>
          <w:tcPr>
            <w:tcW w:type="dxa" w:w="4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Consistent icon library</w:t>
            </w:r>
          </w:p>
        </w:tc>
      </w:tr>
    </w:tbl>
    <w:p>
      <w:pPr>
        <w:spacing w:after="120" w:before="120"/>
      </w:pPr>
    </w:p>
    <w:p>
      <w:pPr>
        <w:pStyle w:val="Heading2"/>
        <w:spacing w:after="120" w:before="240"/>
      </w:pPr>
      <w:r>
        <w:rPr>
          <w:rFonts w:ascii="Arial" w:cs="Arial" w:eastAsia="Arial" w:hAnsi="Arial"/>
          <w:b/>
          <w:bCs/>
          <w:color w:val="7B2FBE"/>
          <w:sz w:val="26"/>
          <w:szCs w:val="26"/>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Runtime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Node.js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JavaScript server runtime</w:t>
            </w:r>
          </w:p>
        </w:tc>
      </w:tr>
      <w:tr>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Express.js</w:t>
            </w:r>
          </w:p>
        </w:tc>
        <w:tc>
          <w:tcPr>
            <w:tcW w:type="dxa" w:w="4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Minimal HTTP framework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via Neon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Cloud-hosted relational DB</w:t>
            </w:r>
          </w:p>
        </w:tc>
      </w:tr>
      <w:tr>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ORM</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Prisma</w:t>
            </w:r>
          </w:p>
        </w:tc>
        <w:tc>
          <w:tcPr>
            <w:tcW w:type="dxa" w:w="4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Type-safe database access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Blockchain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Solana Web3.js + SPL 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On-chain USDC transfers</w:t>
            </w:r>
          </w:p>
        </w:tc>
      </w:tr>
      <w:tr>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Email</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IMAP + Mailparser</w:t>
            </w:r>
          </w:p>
        </w:tc>
        <w:tc>
          <w:tcPr>
            <w:tcW w:type="dxa" w:w="4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Automated bank email parsing</w:t>
            </w:r>
          </w:p>
        </w:tc>
      </w:tr>
    </w:tbl>
    <w:p>
      <w:pPr>
        <w:spacing w:after="80" w:before="140"/>
      </w:pPr>
    </w:p>
    <w:p>
      <w:pPr>
        <w:pStyle w:val="Heading1"/>
        <w:pBdr>
          <w:bottom w:val="single" w:color="9945FF" w:sz="4" w:space="4"/>
        </w:pBdr>
        <w:spacing w:after="160" w:before="320"/>
      </w:pPr>
      <w:r>
        <w:rPr>
          <w:rFonts w:ascii="Arial" w:cs="Arial" w:eastAsia="Arial" w:hAnsi="Arial"/>
          <w:b/>
          <w:bCs/>
          <w:color w:val="1A1A2E"/>
          <w:sz w:val="32"/>
          <w:szCs w:val="32"/>
        </w:rPr>
        <w:t xml:space="preserve">3. Database Schema</w:t>
      </w:r>
    </w:p>
    <w:p>
      <w:pPr>
        <w:spacing w:after="80" w:before="60"/>
      </w:pPr>
      <w:r>
        <w:rPr>
          <w:rFonts w:ascii="Arial" w:cs="Arial" w:eastAsia="Arial" w:hAnsi="Arial"/>
          <w:color w:val="1A1A2E"/>
          <w:sz w:val="22"/>
          <w:szCs w:val="22"/>
        </w:rPr>
        <w:t xml:space="preserve">The Prisma schema defines three core tables that model the full order lifecycle: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9945F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w:t>
            </w:r>
          </w:p>
        </w:tc>
        <w:tc>
          <w:tcPr>
            <w:tcW w:type="dxa" w:w="7920"/>
            <w:tcBorders>
              <w:top w:val="single" w:color="CCCCCC" w:sz="1"/>
              <w:left w:val="single" w:color="CCCCCC" w:sz="1"/>
              <w:bottom w:val="single" w:color="CCCCCC" w:sz="1"/>
              <w:right w:val="single" w:color="CCCCCC" w:sz="1"/>
            </w:tcBorders>
            <w:shd w:fill="F3EEFF" w:val="clear"/>
            <w:tcMar>
              <w:top w:type="dxa" w:w="80"/>
              <w:left w:type="dxa" w:w="140"/>
              <w:bottom w:type="dxa" w:w="80"/>
              <w:right w:type="dxa" w:w="140"/>
            </w:tcMar>
          </w:tcPr>
          <w:p>
            <w:r>
              <w:rPr>
                <w:rFonts w:ascii="Arial" w:cs="Arial" w:eastAsia="Arial" w:hAnsi="Arial"/>
                <w:color w:val="1A1A2E"/>
                <w:sz w:val="20"/>
                <w:szCs w:val="20"/>
              </w:rPr>
              <w:t xml:space="preserve">Stores identity, contact details, and default Solana wallet address. Acts as the root entity for all orders placed on the platform.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9945F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Order</w:t>
            </w:r>
          </w:p>
        </w:tc>
        <w:tc>
          <w:tcPr>
            <w:tcW w:type="dxa" w:w="7920"/>
            <w:tcBorders>
              <w:top w:val="single" w:color="CCCCCC" w:sz="1"/>
              <w:left w:val="single" w:color="CCCCCC" w:sz="1"/>
              <w:bottom w:val="single" w:color="CCCCCC" w:sz="1"/>
              <w:right w:val="single" w:color="CCCCCC" w:sz="1"/>
            </w:tcBorders>
            <w:shd w:fill="F3EEFF" w:val="clear"/>
            <w:tcMar>
              <w:top w:type="dxa" w:w="80"/>
              <w:left w:type="dxa" w:w="140"/>
              <w:bottom w:type="dxa" w:w="80"/>
              <w:right w:type="dxa" w:w="140"/>
            </w:tcMar>
          </w:tcPr>
          <w:p>
            <w:r>
              <w:rPr>
                <w:rFonts w:ascii="Arial" w:cs="Arial" w:eastAsia="Arial" w:hAnsi="Arial"/>
                <w:color w:val="1A1A2E"/>
                <w:sz w:val="20"/>
                <w:szCs w:val="20"/>
              </w:rPr>
              <w:t xml:space="preserve">Records each conversion request — INR amount, target USDC wallet, UTR reference, and the final on-chain transaction signature. Transitions through 6 states managed by the State Machine pattern.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9945F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Email
Tx</w:t>
            </w:r>
          </w:p>
        </w:tc>
        <w:tc>
          <w:tcPr>
            <w:tcW w:type="dxa" w:w="7920"/>
            <w:tcBorders>
              <w:top w:val="single" w:color="CCCCCC" w:sz="1"/>
              <w:left w:val="single" w:color="CCCCCC" w:sz="1"/>
              <w:bottom w:val="single" w:color="CCCCCC" w:sz="1"/>
              <w:right w:val="single" w:color="CCCCCC" w:sz="1"/>
            </w:tcBorders>
            <w:shd w:fill="F3EEFF" w:val="clear"/>
            <w:tcMar>
              <w:top w:type="dxa" w:w="80"/>
              <w:left w:type="dxa" w:w="140"/>
              <w:bottom w:type="dxa" w:w="80"/>
              <w:right w:type="dxa" w:w="140"/>
            </w:tcMar>
          </w:tcPr>
          <w:p>
            <w:r>
              <w:rPr>
                <w:rFonts w:ascii="Arial" w:cs="Arial" w:eastAsia="Arial" w:hAnsi="Arial"/>
                <w:color w:val="1A1A2E"/>
                <w:sz w:val="20"/>
                <w:szCs w:val="20"/>
              </w:rPr>
              <w:t xml:space="preserve">Stores parsed bank email data. The rrn field (Bank RRN/UTR) is matched against Order.utrNumber to trigger the verification chain. The isUsed flag prevents double-spend attacks.</w:t>
            </w:r>
          </w:p>
        </w:tc>
      </w:tr>
    </w:tbl>
    <w:p>
      <w:pPr>
        <w:spacing w:after="80" w:before="140"/>
      </w:pPr>
    </w:p>
    <w:p>
      <w:pPr>
        <w:pStyle w:val="Heading1"/>
        <w:pBdr>
          <w:bottom w:val="single" w:color="9945FF" w:sz="4" w:space="4"/>
        </w:pBdr>
        <w:spacing w:after="160" w:before="320"/>
      </w:pPr>
      <w:r>
        <w:rPr>
          <w:rFonts w:ascii="Arial" w:cs="Arial" w:eastAsia="Arial" w:hAnsi="Arial"/>
          <w:b/>
          <w:bCs/>
          <w:color w:val="1A1A2E"/>
          <w:sz w:val="32"/>
          <w:szCs w:val="32"/>
        </w:rPr>
        <w:t xml:space="preserve">4. Software Design Patterns</w:t>
      </w:r>
    </w:p>
    <w:p>
      <w:pPr>
        <w:spacing w:after="80" w:before="60"/>
      </w:pPr>
      <w:r>
        <w:rPr>
          <w:rFonts w:ascii="Arial" w:cs="Arial" w:eastAsia="Arial" w:hAnsi="Arial"/>
          <w:color w:val="1A1A2E"/>
          <w:sz w:val="22"/>
          <w:szCs w:val="22"/>
        </w:rPr>
        <w:t xml:space="preserve">The SolUPI backend is engineered to enterprise standards. Every major business concern is encapsulated in a formal software design pattern. The codebase implements 13 distinct OOP design patterns spanning the Gang of Four (GoF) Creational, Structural, and Behavioral categories, as well as Enterprise/Data patterns.</w:t>
      </w:r>
    </w:p>
    <w:p>
      <w:pPr>
        <w:spacing w:after="80" w:before="80"/>
      </w:pPr>
    </w:p>
    <w:p>
      <w:pPr>
        <w:pStyle w:val="Heading2"/>
        <w:spacing w:after="120" w:before="240"/>
      </w:pPr>
      <w:r>
        <w:rPr>
          <w:rFonts w:ascii="Arial" w:cs="Arial" w:eastAsia="Arial" w:hAnsi="Arial"/>
          <w:b/>
          <w:bCs/>
          <w:color w:val="7B2FBE"/>
          <w:sz w:val="26"/>
          <w:szCs w:val="26"/>
        </w:rPr>
        <w:t xml:space="preserve">4.1  Creational Patterns</w:t>
      </w:r>
    </w:p>
    <w:p>
      <w:pPr>
        <w:spacing w:after="80" w:before="60"/>
      </w:pPr>
      <w:r>
        <w:rPr>
          <w:rFonts w:ascii="Arial" w:cs="Arial" w:eastAsia="Arial" w:hAnsi="Arial"/>
          <w:color w:val="1A1A2E"/>
          <w:sz w:val="22"/>
          <w:szCs w:val="22"/>
        </w:rPr>
        <w:t xml:space="preserve">Creational patterns deal with object creation mechanisms, aiming to create objects in a manner suitable to the situation.</w:t>
      </w:r>
    </w:p>
    <w:p>
      <w:pPr>
        <w:spacing w:after="60" w:before="60"/>
      </w:pPr>
    </w:p>
    <w:p>
      <w:pPr>
        <w:pStyle w:val="Heading3"/>
        <w:spacing w:after="80" w:before="180"/>
      </w:pPr>
      <w:r>
        <w:rPr>
          <w:rFonts w:ascii="Arial" w:cs="Arial" w:eastAsia="Arial" w:hAnsi="Arial"/>
          <w:b/>
          <w:bCs/>
          <w:color w:val="9945FF"/>
          <w:sz w:val="22"/>
          <w:szCs w:val="22"/>
        </w:rPr>
        <w:t xml:space="preserve">Singleton — AppConfig</w:t>
      </w:r>
    </w:p>
    <w:p>
      <w:pPr>
        <w:spacing w:after="80" w:before="60"/>
      </w:pPr>
      <w:r>
        <w:rPr>
          <w:rFonts w:ascii="Arial" w:cs="Arial" w:eastAsia="Arial" w:hAnsi="Arial"/>
          <w:color w:val="1A1A2E"/>
          <w:sz w:val="22"/>
          <w:szCs w:val="22"/>
        </w:rPr>
        <w:t xml:space="preserve">File: config/AppConfig.ts</w:t>
      </w:r>
    </w:p>
    <w:p>
      <w:pPr>
        <w:spacing w:after="40" w:before="40"/>
      </w:pPr>
    </w:p>
    <w:p>
      <w:pPr>
        <w:spacing w:after="80" w:before="60"/>
      </w:pPr>
      <w:r>
        <w:rPr>
          <w:rFonts w:ascii="Arial" w:cs="Arial" w:eastAsia="Arial" w:hAnsi="Arial"/>
          <w:color w:val="1A1A2E"/>
          <w:sz w:val="22"/>
          <w:szCs w:val="22"/>
        </w:rPr>
        <w:t xml:space="preserve">The Singleton pattern ensures a class has only one instance and provides a global access point to it. In SolUPI, AppConfig is a single validated source of truth for all process.env.* environment variables.</w:t>
      </w:r>
    </w:p>
    <w:p>
      <w:pPr>
        <w:spacing w:after="40" w:before="40"/>
      </w:pPr>
    </w:p>
    <w:p>
      <w:pPr>
        <w:spacing w:after="80" w:before="60"/>
      </w:pPr>
      <w:r>
        <w:rPr>
          <w:rFonts w:ascii="Arial" w:cs="Arial" w:eastAsia="Arial" w:hAnsi="Arial"/>
          <w:color w:val="1A1A2E"/>
          <w:sz w:val="22"/>
          <w:szCs w:val="22"/>
        </w:rPr>
        <w:t xml:space="preserve">Without this pattern, environment variables would be read in an unvalidated, scattered manner across 6+ different files. A misconfigured .env would only be discovered at runtime, causing cryptic errors. The Singleton centralises validation at startup — if any required variable is missing or malformed, the application refuses to start immediately, making configuration failures loud and obvious.</w:t>
      </w:r>
    </w:p>
    <w:p>
      <w:pPr>
        <w:spacing w:after="80" w:before="100"/>
      </w:pPr>
    </w:p>
    <w:p>
      <w:pPr>
        <w:pStyle w:val="Heading3"/>
        <w:spacing w:after="80" w:before="180"/>
      </w:pPr>
      <w:r>
        <w:rPr>
          <w:rFonts w:ascii="Arial" w:cs="Arial" w:eastAsia="Arial" w:hAnsi="Arial"/>
          <w:b/>
          <w:bCs/>
          <w:color w:val="9945FF"/>
          <w:sz w:val="22"/>
          <w:szCs w:val="22"/>
        </w:rPr>
        <w:t xml:space="preserve">Abstract Factory — EmailParserFactory</w:t>
      </w:r>
    </w:p>
    <w:p>
      <w:pPr>
        <w:spacing w:after="80" w:before="60"/>
      </w:pPr>
      <w:r>
        <w:rPr>
          <w:rFonts w:ascii="Arial" w:cs="Arial" w:eastAsia="Arial" w:hAnsi="Arial"/>
          <w:color w:val="1A1A2E"/>
          <w:sz w:val="22"/>
          <w:szCs w:val="22"/>
        </w:rPr>
        <w:t xml:space="preserve">File: parsers/EmailParserFactory.ts</w:t>
      </w:r>
    </w:p>
    <w:p>
      <w:pPr>
        <w:spacing w:after="40" w:before="40"/>
      </w:pPr>
    </w:p>
    <w:p>
      <w:pPr>
        <w:spacing w:after="80" w:before="60"/>
      </w:pPr>
      <w:r>
        <w:rPr>
          <w:rFonts w:ascii="Arial" w:cs="Arial" w:eastAsia="Arial" w:hAnsi="Arial"/>
          <w:color w:val="1A1A2E"/>
          <w:sz w:val="22"/>
          <w:szCs w:val="22"/>
        </w:rPr>
        <w:t xml:space="preserve">The Abstract Factory pattern provides an interface for creating families of related objects without specifying their concrete classes. SolUPI uses this to dynamically select the correct bank-specific email parser — SliceEmailParser, HdfcEmailParser, etc. — based on the sender's email address.</w:t>
      </w:r>
    </w:p>
    <w:p>
      <w:pPr>
        <w:spacing w:after="40" w:before="40"/>
      </w:pPr>
    </w:p>
    <w:p>
      <w:pPr>
        <w:spacing w:after="80" w:before="60"/>
      </w:pPr>
      <w:r>
        <w:rPr>
          <w:rFonts w:ascii="Arial" w:cs="Arial" w:eastAsia="Arial" w:hAnsi="Arial"/>
          <w:color w:val="1A1A2E"/>
          <w:sz w:val="22"/>
          <w:szCs w:val="22"/>
        </w:rPr>
        <w:t xml:space="preserve">This is the pattern that makes the system bank-agnostic. Adding support for a new bank (e.g., ICICI, Axis) requires zero changes to any existing class. A developer simply writes a new parser implementing the IEmailParser interface and registers it in the factory — the rest of the system adapts automatically. This adheres strictly to the Open/Closed Principle.</w:t>
      </w:r>
    </w:p>
    <w:p>
      <w:pPr>
        <w:spacing w:after="80" w:before="140"/>
      </w:pPr>
    </w:p>
    <w:p>
      <w:pPr>
        <w:pStyle w:val="Heading2"/>
        <w:spacing w:after="120" w:before="240"/>
      </w:pPr>
      <w:r>
        <w:rPr>
          <w:rFonts w:ascii="Arial" w:cs="Arial" w:eastAsia="Arial" w:hAnsi="Arial"/>
          <w:b/>
          <w:bCs/>
          <w:color w:val="7B2FBE"/>
          <w:sz w:val="26"/>
          <w:szCs w:val="26"/>
        </w:rPr>
        <w:t xml:space="preserve">4.2  Structural Patterns</w:t>
      </w:r>
    </w:p>
    <w:p>
      <w:pPr>
        <w:spacing w:after="80" w:before="60"/>
      </w:pPr>
      <w:r>
        <w:rPr>
          <w:rFonts w:ascii="Arial" w:cs="Arial" w:eastAsia="Arial" w:hAnsi="Arial"/>
          <w:color w:val="1A1A2E"/>
          <w:sz w:val="22"/>
          <w:szCs w:val="22"/>
        </w:rPr>
        <w:t xml:space="preserve">Structural patterns deal with object composition, creating relationships between objects to form larger structures.</w:t>
      </w:r>
    </w:p>
    <w:p>
      <w:pPr>
        <w:spacing w:after="60" w:before="60"/>
      </w:pPr>
    </w:p>
    <w:p>
      <w:pPr>
        <w:pStyle w:val="Heading3"/>
        <w:spacing w:after="80" w:before="180"/>
      </w:pPr>
      <w:r>
        <w:rPr>
          <w:rFonts w:ascii="Arial" w:cs="Arial" w:eastAsia="Arial" w:hAnsi="Arial"/>
          <w:b/>
          <w:bCs/>
          <w:color w:val="9945FF"/>
          <w:sz w:val="22"/>
          <w:szCs w:val="22"/>
        </w:rPr>
        <w:t xml:space="preserve">Facade — SolanaFacade</w:t>
      </w:r>
    </w:p>
    <w:p>
      <w:pPr>
        <w:spacing w:after="80" w:before="60"/>
      </w:pPr>
      <w:r>
        <w:rPr>
          <w:rFonts w:ascii="Arial" w:cs="Arial" w:eastAsia="Arial" w:hAnsi="Arial"/>
          <w:color w:val="1A1A2E"/>
          <w:sz w:val="22"/>
          <w:szCs w:val="22"/>
        </w:rPr>
        <w:t xml:space="preserve">File: facades/SolanaFacade.ts</w:t>
      </w:r>
    </w:p>
    <w:p>
      <w:pPr>
        <w:spacing w:after="40" w:before="40"/>
      </w:pPr>
    </w:p>
    <w:p>
      <w:pPr>
        <w:spacing w:after="80" w:before="60"/>
      </w:pPr>
      <w:r>
        <w:rPr>
          <w:rFonts w:ascii="Arial" w:cs="Arial" w:eastAsia="Arial" w:hAnsi="Arial"/>
          <w:color w:val="1A1A2E"/>
          <w:sz w:val="22"/>
          <w:szCs w:val="22"/>
        </w:rPr>
        <w:t xml:space="preserve">The Facade pattern provides a simplified, unified interface to a complex subsystem. SolanaFacade hides the low-level complexity of Solana Web3.js — including Associated Token Account (ATA) creation, SPL token transfers, compute budget configuration, and retry logic — behind a single, clean interface.</w:t>
      </w:r>
    </w:p>
    <w:p>
      <w:pPr>
        <w:spacing w:after="40" w:before="40"/>
      </w:pPr>
    </w:p>
    <w:p>
      <w:pPr>
        <w:spacing w:after="80" w:before="60"/>
      </w:pPr>
      <w:r>
        <w:rPr>
          <w:rFonts w:ascii="Arial" w:cs="Arial" w:eastAsia="Arial" w:hAnsi="Arial"/>
          <w:color w:val="1A1A2E"/>
          <w:sz w:val="22"/>
          <w:szCs w:val="22"/>
        </w:rPr>
        <w:t xml:space="preserve">Without this facade, the OrderService would need to understand the intricate mechanics of the Solana runtime: how to handle ATA creation if one doesn't exist, how to set compute unit limits to avoid simulation failures, and how to implement exponential backoff on RPC errors. The Facade keeps the service layer blissfully unaware of blockchain internals, making it testable and replaceable.</w:t>
      </w:r>
    </w:p>
    <w:p>
      <w:pPr>
        <w:spacing w:after="80" w:before="100"/>
      </w:pPr>
    </w:p>
    <w:p>
      <w:pPr>
        <w:pStyle w:val="Heading3"/>
        <w:spacing w:after="80" w:before="180"/>
      </w:pPr>
      <w:r>
        <w:rPr>
          <w:rFonts w:ascii="Arial" w:cs="Arial" w:eastAsia="Arial" w:hAnsi="Arial"/>
          <w:b/>
          <w:bCs/>
          <w:color w:val="9945FF"/>
          <w:sz w:val="22"/>
          <w:szCs w:val="22"/>
        </w:rPr>
        <w:t xml:space="preserve">Decorator — CachedPricingStrategy &amp; LoggedPricingStrategy</w:t>
      </w:r>
    </w:p>
    <w:p>
      <w:pPr>
        <w:spacing w:after="80" w:before="60"/>
      </w:pPr>
      <w:r>
        <w:rPr>
          <w:rFonts w:ascii="Arial" w:cs="Arial" w:eastAsia="Arial" w:hAnsi="Arial"/>
          <w:color w:val="1A1A2E"/>
          <w:sz w:val="22"/>
          <w:szCs w:val="22"/>
        </w:rPr>
        <w:t xml:space="preserve">Files: strategies/decorators/CachedPricingStrategy.ts, strategies/decorators/LoggedPricingStrategy.ts</w:t>
      </w:r>
    </w:p>
    <w:p>
      <w:pPr>
        <w:spacing w:after="40" w:before="40"/>
      </w:pPr>
    </w:p>
    <w:p>
      <w:pPr>
        <w:spacing w:after="80" w:before="60"/>
      </w:pPr>
      <w:r>
        <w:rPr>
          <w:rFonts w:ascii="Arial" w:cs="Arial" w:eastAsia="Arial" w:hAnsi="Arial"/>
          <w:color w:val="1A1A2E"/>
          <w:sz w:val="22"/>
          <w:szCs w:val="22"/>
        </w:rPr>
        <w:t xml:space="preserve">The Decorator pattern attaches additional responsibilities to an object dynamically, providing a flexible alternative to subclassing. SolUPI applies two decorators to the core IPricingStrategy:</w:t>
      </w:r>
    </w:p>
    <w:p>
      <w:pPr>
        <w:spacing w:after="40" w:before="40"/>
      </w:pPr>
    </w:p>
    <w:p>
      <w:pPr>
        <w:pStyle w:val="ListParagraph"/>
        <w:numPr>
          <w:ilvl w:val="0"/>
          <w:numId w:val="2"/>
        </w:numPr>
        <w:spacing w:after="40" w:before="40"/>
      </w:pPr>
      <w:r>
        <w:rPr>
          <w:rFonts w:ascii="Arial" w:cs="Arial" w:eastAsia="Arial" w:hAnsi="Arial"/>
          <w:color w:val="1A1A2E"/>
          <w:sz w:val="22"/>
          <w:szCs w:val="22"/>
        </w:rPr>
        <w:t xml:space="preserve">CachedPricingStrategy: Wraps any IPricingStrategy to add a 60-second in-memory cache. This prevents hammering the external exchange rate API on every order request, reducing latency and API costs.</w:t>
      </w:r>
    </w:p>
    <w:p>
      <w:pPr>
        <w:pStyle w:val="ListParagraph"/>
        <w:numPr>
          <w:ilvl w:val="0"/>
          <w:numId w:val="2"/>
        </w:numPr>
        <w:spacing w:after="40" w:before="40"/>
      </w:pPr>
      <w:r>
        <w:rPr>
          <w:rFonts w:ascii="Arial" w:cs="Arial" w:eastAsia="Arial" w:hAnsi="Arial"/>
          <w:color w:val="1A1A2E"/>
          <w:sz w:val="22"/>
          <w:szCs w:val="22"/>
        </w:rPr>
        <w:t xml:space="preserve">LoggedPricingStrategy: Wraps any IPricingStrategy to inject structured timing logs and error tracking without touching the pricing logic itself.</w:t>
      </w:r>
    </w:p>
    <w:p>
      <w:pPr>
        <w:spacing w:after="40" w:before="40"/>
      </w:pPr>
    </w:p>
    <w:p>
      <w:pPr>
        <w:spacing w:after="80" w:before="60"/>
      </w:pPr>
      <w:r>
        <w:rPr>
          <w:rFonts w:ascii="Arial" w:cs="Arial" w:eastAsia="Arial" w:hAnsi="Arial"/>
          <w:color w:val="1A1A2E"/>
          <w:sz w:val="22"/>
          <w:szCs w:val="22"/>
        </w:rPr>
        <w:t xml:space="preserve">These decorators can be stacked arbitrarily. The order of wrapping determines behaviour: wrapping Logged(Cached(Exchange)) means the outer logger measures the time saved by the cache. This is far more flexible than creating a CachedLoggedPricingStrategy subclass for every combination needed.</w:t>
      </w:r>
    </w:p>
    <w:p>
      <w:pPr>
        <w:spacing w:after="80" w:before="100"/>
      </w:pPr>
    </w:p>
    <w:p>
      <w:pPr>
        <w:pStyle w:val="Heading3"/>
        <w:spacing w:after="80" w:before="180"/>
      </w:pPr>
      <w:r>
        <w:rPr>
          <w:rFonts w:ascii="Arial" w:cs="Arial" w:eastAsia="Arial" w:hAnsi="Arial"/>
          <w:b/>
          <w:bCs/>
          <w:color w:val="9945FF"/>
          <w:sz w:val="22"/>
          <w:szCs w:val="22"/>
        </w:rPr>
        <w:t xml:space="preserve">Repository — OrderRepository &amp; EmailTransactionRepository</w:t>
      </w:r>
    </w:p>
    <w:p>
      <w:pPr>
        <w:spacing w:after="80" w:before="60"/>
      </w:pPr>
      <w:r>
        <w:rPr>
          <w:rFonts w:ascii="Arial" w:cs="Arial" w:eastAsia="Arial" w:hAnsi="Arial"/>
          <w:color w:val="1A1A2E"/>
          <w:sz w:val="22"/>
          <w:szCs w:val="22"/>
        </w:rPr>
        <w:t xml:space="preserve">Files: repositories/OrderRepository.ts, repositories/EmailTransactionRepository.ts</w:t>
      </w:r>
    </w:p>
    <w:p>
      <w:pPr>
        <w:spacing w:after="40" w:before="40"/>
      </w:pPr>
    </w:p>
    <w:p>
      <w:pPr>
        <w:spacing w:after="80" w:before="60"/>
      </w:pPr>
      <w:r>
        <w:rPr>
          <w:rFonts w:ascii="Arial" w:cs="Arial" w:eastAsia="Arial" w:hAnsi="Arial"/>
          <w:color w:val="1A1A2E"/>
          <w:sz w:val="22"/>
          <w:szCs w:val="22"/>
        </w:rPr>
        <w:t xml:space="preserve">The Repository pattern encapsulates the logic required to access data sources, decoupling the domain and application layers from data access concerns. Instead of scattering Prisma client calls throughout service files, all database operations for Orders and EmailTransactions are concentrated in their respective repositories.</w:t>
      </w:r>
    </w:p>
    <w:p>
      <w:pPr>
        <w:spacing w:after="40" w:before="40"/>
      </w:pPr>
    </w:p>
    <w:p>
      <w:pPr>
        <w:spacing w:after="80" w:before="60"/>
      </w:pPr>
      <w:r>
        <w:rPr>
          <w:rFonts w:ascii="Arial" w:cs="Arial" w:eastAsia="Arial" w:hAnsi="Arial"/>
          <w:color w:val="1A1A2E"/>
          <w:sz w:val="22"/>
          <w:szCs w:val="22"/>
        </w:rPr>
        <w:t xml:space="preserve">This abstraction means that if the team decided to swap Prisma for a raw SQL driver, or migrate from PostgreSQL to another database, only the repository files would change. The OrderService would remain completely unaware. It also makes unit testing trivial — the repository can be mocked without spinning up a real database.</w:t>
      </w:r>
    </w:p>
    <w:p>
      <w:pPr>
        <w:spacing w:after="80" w:before="140"/>
      </w:pPr>
    </w:p>
    <w:p>
      <w:pPr>
        <w:pStyle w:val="Heading2"/>
        <w:spacing w:after="120" w:before="240"/>
      </w:pPr>
      <w:r>
        <w:rPr>
          <w:rFonts w:ascii="Arial" w:cs="Arial" w:eastAsia="Arial" w:hAnsi="Arial"/>
          <w:b/>
          <w:bCs/>
          <w:color w:val="7B2FBE"/>
          <w:sz w:val="26"/>
          <w:szCs w:val="26"/>
        </w:rPr>
        <w:t xml:space="preserve">4.3  Behavioral Patterns</w:t>
      </w:r>
    </w:p>
    <w:p>
      <w:pPr>
        <w:spacing w:after="80" w:before="60"/>
      </w:pPr>
      <w:r>
        <w:rPr>
          <w:rFonts w:ascii="Arial" w:cs="Arial" w:eastAsia="Arial" w:hAnsi="Arial"/>
          <w:color w:val="1A1A2E"/>
          <w:sz w:val="22"/>
          <w:szCs w:val="22"/>
        </w:rPr>
        <w:t xml:space="preserve">Behavioral patterns identify common communication patterns between objects and realize these patterns to increase flexibility in communication.</w:t>
      </w:r>
    </w:p>
    <w:p>
      <w:pPr>
        <w:spacing w:after="60" w:before="60"/>
      </w:pPr>
    </w:p>
    <w:p>
      <w:pPr>
        <w:pStyle w:val="Heading3"/>
        <w:spacing w:after="80" w:before="180"/>
      </w:pPr>
      <w:r>
        <w:rPr>
          <w:rFonts w:ascii="Arial" w:cs="Arial" w:eastAsia="Arial" w:hAnsi="Arial"/>
          <w:b/>
          <w:bCs/>
          <w:color w:val="9945FF"/>
          <w:sz w:val="22"/>
          <w:szCs w:val="22"/>
        </w:rPr>
        <w:t xml:space="preserve">Strategy — IPricingStrategy</w:t>
      </w:r>
    </w:p>
    <w:p>
      <w:pPr>
        <w:spacing w:after="80" w:before="60"/>
      </w:pPr>
      <w:r>
        <w:rPr>
          <w:rFonts w:ascii="Arial" w:cs="Arial" w:eastAsia="Arial" w:hAnsi="Arial"/>
          <w:color w:val="1A1A2E"/>
          <w:sz w:val="22"/>
          <w:szCs w:val="22"/>
        </w:rPr>
        <w:t xml:space="preserve">File: strategies/IPricingStrategy.ts</w:t>
      </w:r>
    </w:p>
    <w:p>
      <w:pPr>
        <w:spacing w:after="40" w:before="40"/>
      </w:pPr>
    </w:p>
    <w:p>
      <w:pPr>
        <w:spacing w:after="80" w:before="60"/>
      </w:pPr>
      <w:r>
        <w:rPr>
          <w:rFonts w:ascii="Arial" w:cs="Arial" w:eastAsia="Arial" w:hAnsi="Arial"/>
          <w:color w:val="1A1A2E"/>
          <w:sz w:val="22"/>
          <w:szCs w:val="22"/>
        </w:rPr>
        <w:t xml:space="preserve">The Strategy pattern defines a family of algorithms, encapsulates each one, and makes them interchangeable. The IPricingStrategy interface defines a contract for USDC pricing. The current concrete implementation, ExchangeRateApiStrategy, fetches live rates from an external API.</w:t>
      </w:r>
    </w:p>
    <w:p>
      <w:pPr>
        <w:spacing w:after="40" w:before="40"/>
      </w:pPr>
    </w:p>
    <w:p>
      <w:pPr>
        <w:spacing w:after="80" w:before="60"/>
      </w:pPr>
      <w:r>
        <w:rPr>
          <w:rFonts w:ascii="Arial" w:cs="Arial" w:eastAsia="Arial" w:hAnsi="Arial"/>
          <w:color w:val="1A1A2E"/>
          <w:sz w:val="22"/>
          <w:szCs w:val="22"/>
        </w:rPr>
        <w:t xml:space="preserve">The power of this pattern is forward-compatibility. If the team wants to switch from a centralised API to a decentralised Chainlink oracle for tamper-proof pricing, they create a new ChainlinkPricingStrategy class implementing IPricingStrategy and swap it in — zero changes to any business logic. This decouples the what (get a price) from the how (which source to use).</w:t>
      </w:r>
    </w:p>
    <w:p>
      <w:pPr>
        <w:spacing w:after="80" w:before="100"/>
      </w:pPr>
    </w:p>
    <w:p>
      <w:pPr>
        <w:pStyle w:val="Heading3"/>
        <w:spacing w:after="80" w:before="180"/>
      </w:pPr>
      <w:r>
        <w:rPr>
          <w:rFonts w:ascii="Arial" w:cs="Arial" w:eastAsia="Arial" w:hAnsi="Arial"/>
          <w:b/>
          <w:bCs/>
          <w:color w:val="9945FF"/>
          <w:sz w:val="22"/>
          <w:szCs w:val="22"/>
        </w:rPr>
        <w:t xml:space="preserve">State Machine — OrderStateMachine</w:t>
      </w:r>
    </w:p>
    <w:p>
      <w:pPr>
        <w:spacing w:after="80" w:before="60"/>
      </w:pPr>
      <w:r>
        <w:rPr>
          <w:rFonts w:ascii="Arial" w:cs="Arial" w:eastAsia="Arial" w:hAnsi="Arial"/>
          <w:color w:val="1A1A2E"/>
          <w:sz w:val="22"/>
          <w:szCs w:val="22"/>
        </w:rPr>
        <w:t xml:space="preserve">File: states/OrderStateMachine.ts</w:t>
      </w:r>
    </w:p>
    <w:p>
      <w:pPr>
        <w:spacing w:after="40" w:before="40"/>
      </w:pPr>
    </w:p>
    <w:p>
      <w:pPr>
        <w:spacing w:after="80" w:before="60"/>
      </w:pPr>
      <w:r>
        <w:rPr>
          <w:rFonts w:ascii="Arial" w:cs="Arial" w:eastAsia="Arial" w:hAnsi="Arial"/>
          <w:color w:val="1A1A2E"/>
          <w:sz w:val="22"/>
          <w:szCs w:val="22"/>
        </w:rPr>
        <w:t xml:space="preserve">The State Machine pattern allows an object to alter its behaviour when its internal state changes. The OrderStateMachine enforces strict, validated lifecycle transitions across 6 concrete states: Pending, AwaitingPayment, Processing, Completed, Failed, and Cancelled.</w:t>
      </w:r>
    </w:p>
    <w:p>
      <w:pPr>
        <w:spacing w:after="40" w:before="40"/>
      </w:pPr>
    </w:p>
    <w:p>
      <w:pPr>
        <w:spacing w:after="80" w:before="60"/>
      </w:pPr>
      <w:r>
        <w:rPr>
          <w:rFonts w:ascii="Arial" w:cs="Arial" w:eastAsia="Arial" w:hAnsi="Arial"/>
          <w:color w:val="1A1A2E"/>
          <w:sz w:val="22"/>
          <w:szCs w:val="22"/>
        </w:rPr>
        <w:t xml:space="preserve">Without a State Machine, order transitions would be managed with a series of if-else checks scattered across multiple service methods — a recipe for illegal state jumps like COMPLETED to PENDING. The State Machine makes invalid transitions impossible by design. Each state class only exposes the transitions that are valid from that state, throwing a descriptive error if an illegal transition is attempted. This guarantees data integrity at the domain level.</w:t>
      </w:r>
    </w:p>
    <w:p>
      <w:pPr>
        <w:spacing w:after="80" w:before="100"/>
      </w:pPr>
    </w:p>
    <w:p>
      <w:pPr>
        <w:pStyle w:val="Heading3"/>
        <w:spacing w:after="80" w:before="180"/>
      </w:pPr>
      <w:r>
        <w:rPr>
          <w:rFonts w:ascii="Arial" w:cs="Arial" w:eastAsia="Arial" w:hAnsi="Arial"/>
          <w:b/>
          <w:bCs/>
          <w:color w:val="9945FF"/>
          <w:sz w:val="22"/>
          <w:szCs w:val="22"/>
        </w:rPr>
        <w:t xml:space="preserve">Chain of Responsibility — VerificationHandlers</w:t>
      </w:r>
    </w:p>
    <w:p>
      <w:pPr>
        <w:spacing w:after="80" w:before="60"/>
      </w:pPr>
      <w:r>
        <w:rPr>
          <w:rFonts w:ascii="Arial" w:cs="Arial" w:eastAsia="Arial" w:hAnsi="Arial"/>
          <w:color w:val="1A1A2E"/>
          <w:sz w:val="22"/>
          <w:szCs w:val="22"/>
        </w:rPr>
        <w:t xml:space="preserve">File: handlers/VerificationHandlers.ts</w:t>
      </w:r>
    </w:p>
    <w:p>
      <w:pPr>
        <w:spacing w:after="40" w:before="40"/>
      </w:pPr>
    </w:p>
    <w:p>
      <w:pPr>
        <w:spacing w:after="80" w:before="60"/>
      </w:pPr>
      <w:r>
        <w:rPr>
          <w:rFonts w:ascii="Arial" w:cs="Arial" w:eastAsia="Arial" w:hAnsi="Arial"/>
          <w:color w:val="1A1A2E"/>
          <w:sz w:val="22"/>
          <w:szCs w:val="22"/>
        </w:rPr>
        <w:t xml:space="preserve">The Chain of Responsibility pattern passes a request along a chain of handlers, where each handler decides to process the request or pass it to the next handler. SolUPI replaces a monolithic 189-line verification god-method with an 8-step sequential pipeline:</w:t>
      </w:r>
    </w:p>
    <w:p>
      <w:pPr>
        <w:spacing w:after="40" w:before="40"/>
      </w:pPr>
    </w:p>
    <w:p>
      <w:pPr>
        <w:pStyle w:val="ListParagraph"/>
        <w:numPr>
          <w:ilvl w:val="0"/>
          <w:numId w:val="2"/>
        </w:numPr>
        <w:spacing w:after="40" w:before="40"/>
      </w:pPr>
      <w:r>
        <w:rPr>
          <w:rFonts w:ascii="Arial" w:cs="Arial" w:eastAsia="Arial" w:hAnsi="Arial"/>
          <w:color w:val="1A1A2E"/>
          <w:sz w:val="22"/>
          <w:szCs w:val="22"/>
        </w:rPr>
        <w:t xml:space="preserve">OrderExistsHandler — Verifies the order exists in the database.</w:t>
      </w:r>
    </w:p>
    <w:p>
      <w:pPr>
        <w:pStyle w:val="ListParagraph"/>
        <w:numPr>
          <w:ilvl w:val="0"/>
          <w:numId w:val="2"/>
        </w:numPr>
        <w:spacing w:after="40" w:before="40"/>
      </w:pPr>
      <w:r>
        <w:rPr>
          <w:rFonts w:ascii="Arial" w:cs="Arial" w:eastAsia="Arial" w:hAnsi="Arial"/>
          <w:color w:val="1A1A2E"/>
          <w:sz w:val="22"/>
          <w:szCs w:val="22"/>
        </w:rPr>
        <w:t xml:space="preserve">OrderStatusHandler — Confirms the order is in an actionable state.</w:t>
      </w:r>
    </w:p>
    <w:p>
      <w:pPr>
        <w:pStyle w:val="ListParagraph"/>
        <w:numPr>
          <w:ilvl w:val="0"/>
          <w:numId w:val="2"/>
        </w:numPr>
        <w:spacing w:after="40" w:before="40"/>
      </w:pPr>
      <w:r>
        <w:rPr>
          <w:rFonts w:ascii="Arial" w:cs="Arial" w:eastAsia="Arial" w:hAnsi="Arial"/>
          <w:color w:val="1A1A2E"/>
          <w:sz w:val="22"/>
          <w:szCs w:val="22"/>
        </w:rPr>
        <w:t xml:space="preserve">EmailTransactionHandler — Locates the matching bank email transaction.</w:t>
      </w:r>
    </w:p>
    <w:p>
      <w:pPr>
        <w:pStyle w:val="ListParagraph"/>
        <w:numPr>
          <w:ilvl w:val="0"/>
          <w:numId w:val="2"/>
        </w:numPr>
        <w:spacing w:after="40" w:before="40"/>
      </w:pPr>
      <w:r>
        <w:rPr>
          <w:rFonts w:ascii="Arial" w:cs="Arial" w:eastAsia="Arial" w:hAnsi="Arial"/>
          <w:color w:val="1A1A2E"/>
          <w:sz w:val="22"/>
          <w:szCs w:val="22"/>
        </w:rPr>
        <w:t xml:space="preserve">AmountValidationHandler — Validates the paid amount matches the order.</w:t>
      </w:r>
    </w:p>
    <w:p>
      <w:pPr>
        <w:pStyle w:val="ListParagraph"/>
        <w:numPr>
          <w:ilvl w:val="0"/>
          <w:numId w:val="2"/>
        </w:numPr>
        <w:spacing w:after="40" w:before="40"/>
      </w:pPr>
      <w:r>
        <w:rPr>
          <w:rFonts w:ascii="Arial" w:cs="Arial" w:eastAsia="Arial" w:hAnsi="Arial"/>
          <w:color w:val="1A1A2E"/>
          <w:sz w:val="22"/>
          <w:szCs w:val="22"/>
        </w:rPr>
        <w:t xml:space="preserve">OrderClaimHandler — Atomically claims the order to prevent race conditions.</w:t>
      </w:r>
    </w:p>
    <w:p>
      <w:pPr>
        <w:pStyle w:val="ListParagraph"/>
        <w:numPr>
          <w:ilvl w:val="0"/>
          <w:numId w:val="2"/>
        </w:numPr>
        <w:spacing w:after="40" w:before="40"/>
      </w:pPr>
      <w:r>
        <w:rPr>
          <w:rFonts w:ascii="Arial" w:cs="Arial" w:eastAsia="Arial" w:hAnsi="Arial"/>
          <w:color w:val="1A1A2E"/>
          <w:sz w:val="22"/>
          <w:szCs w:val="22"/>
        </w:rPr>
        <w:t xml:space="preserve">USDCCalculationHandler — Computes the correct USDC amount at live rates.</w:t>
      </w:r>
    </w:p>
    <w:p>
      <w:pPr>
        <w:pStyle w:val="ListParagraph"/>
        <w:numPr>
          <w:ilvl w:val="0"/>
          <w:numId w:val="2"/>
        </w:numPr>
        <w:spacing w:after="40" w:before="40"/>
      </w:pPr>
      <w:r>
        <w:rPr>
          <w:rFonts w:ascii="Arial" w:cs="Arial" w:eastAsia="Arial" w:hAnsi="Arial"/>
          <w:color w:val="1A1A2E"/>
          <w:sz w:val="22"/>
          <w:szCs w:val="22"/>
        </w:rPr>
        <w:t xml:space="preserve">SolanaTransferHandler — Executes the on-chain USDC transfer.</w:t>
      </w:r>
    </w:p>
    <w:p>
      <w:pPr>
        <w:pStyle w:val="ListParagraph"/>
        <w:numPr>
          <w:ilvl w:val="0"/>
          <w:numId w:val="2"/>
        </w:numPr>
        <w:spacing w:after="40" w:before="40"/>
      </w:pPr>
      <w:r>
        <w:rPr>
          <w:rFonts w:ascii="Arial" w:cs="Arial" w:eastAsia="Arial" w:hAnsi="Arial"/>
          <w:color w:val="1A1A2E"/>
          <w:sz w:val="22"/>
          <w:szCs w:val="22"/>
        </w:rPr>
        <w:t xml:space="preserve">OrderCompletionHandler — Finalizes the order and updates all records.</w:t>
      </w:r>
    </w:p>
    <w:p>
      <w:pPr>
        <w:spacing w:after="40" w:before="40"/>
      </w:pPr>
    </w:p>
    <w:p>
      <w:pPr>
        <w:spacing w:after="80" w:before="60"/>
      </w:pPr>
      <w:r>
        <w:rPr>
          <w:rFonts w:ascii="Arial" w:cs="Arial" w:eastAsia="Arial" w:hAnsi="Arial"/>
          <w:color w:val="1A1A2E"/>
          <w:sz w:val="22"/>
          <w:szCs w:val="22"/>
        </w:rPr>
        <w:t xml:space="preserve">Each handler has exactly one responsibility and can be unit-tested in complete isolation. The chain can be extended (e.g., adding a KYC check handler between steps 1 and 2) without modifying any existing handler.</w:t>
      </w:r>
    </w:p>
    <w:p>
      <w:pPr>
        <w:spacing w:after="80" w:before="100"/>
      </w:pPr>
    </w:p>
    <w:p>
      <w:pPr>
        <w:pStyle w:val="Heading3"/>
        <w:spacing w:after="80" w:before="180"/>
      </w:pPr>
      <w:r>
        <w:rPr>
          <w:rFonts w:ascii="Arial" w:cs="Arial" w:eastAsia="Arial" w:hAnsi="Arial"/>
          <w:b/>
          <w:bCs/>
          <w:color w:val="9945FF"/>
          <w:sz w:val="22"/>
          <w:szCs w:val="22"/>
        </w:rPr>
        <w:t xml:space="preserve">Command &amp; Command Bus — OrderCommands</w:t>
      </w:r>
    </w:p>
    <w:p>
      <w:pPr>
        <w:spacing w:after="80" w:before="60"/>
      </w:pPr>
      <w:r>
        <w:rPr>
          <w:rFonts w:ascii="Arial" w:cs="Arial" w:eastAsia="Arial" w:hAnsi="Arial"/>
          <w:color w:val="1A1A2E"/>
          <w:sz w:val="22"/>
          <w:szCs w:val="22"/>
        </w:rPr>
        <w:t xml:space="preserve">File: commands/OrderCommands.ts</w:t>
      </w:r>
    </w:p>
    <w:p>
      <w:pPr>
        <w:spacing w:after="40" w:before="40"/>
      </w:pPr>
    </w:p>
    <w:p>
      <w:pPr>
        <w:spacing w:after="80" w:before="60"/>
      </w:pPr>
      <w:r>
        <w:rPr>
          <w:rFonts w:ascii="Arial" w:cs="Arial" w:eastAsia="Arial" w:hAnsi="Arial"/>
          <w:color w:val="1A1A2E"/>
          <w:sz w:val="22"/>
          <w:szCs w:val="22"/>
        </w:rPr>
        <w:t xml:space="preserve">The Command pattern encapsulates a request as an object, thereby allowing for parameterisation, queuing, logging, and undoable operations. All order mutations — CreateOrderCommand, UpdateOrderUTRCommand, DeleteOrderCommand — are first-class objects.</w:t>
      </w:r>
    </w:p>
    <w:p>
      <w:pPr>
        <w:spacing w:after="40" w:before="40"/>
      </w:pPr>
    </w:p>
    <w:p>
      <w:pPr>
        <w:spacing w:after="80" w:before="60"/>
      </w:pPr>
      <w:r>
        <w:rPr>
          <w:rFonts w:ascii="Arial" w:cs="Arial" w:eastAsia="Arial" w:hAnsi="Arial"/>
          <w:color w:val="1A1A2E"/>
          <w:sz w:val="22"/>
          <w:szCs w:val="22"/>
        </w:rPr>
        <w:t xml:space="preserve">The CommandBus acts as a central dispatcher that executes commands and maintains an in-memory audit log with timestamps and execution duration for every mutation. This means the system has a full, immutable history of every state-changing operation, making debugging and auditing trivial. Commands are independently loggable, retryable, and — in a future iteration — undoable.</w:t>
      </w:r>
    </w:p>
    <w:p>
      <w:pPr>
        <w:spacing w:after="80" w:before="100"/>
      </w:pPr>
    </w:p>
    <w:p>
      <w:pPr>
        <w:pStyle w:val="Heading3"/>
        <w:spacing w:after="80" w:before="180"/>
      </w:pPr>
      <w:r>
        <w:rPr>
          <w:rFonts w:ascii="Arial" w:cs="Arial" w:eastAsia="Arial" w:hAnsi="Arial"/>
          <w:b/>
          <w:bCs/>
          <w:color w:val="9945FF"/>
          <w:sz w:val="22"/>
          <w:szCs w:val="22"/>
        </w:rPr>
        <w:t xml:space="preserve">Observer / Event Bus — EmailWatcherEventBus</w:t>
      </w:r>
    </w:p>
    <w:p>
      <w:pPr>
        <w:spacing w:after="80" w:before="60"/>
      </w:pPr>
      <w:r>
        <w:rPr>
          <w:rFonts w:ascii="Arial" w:cs="Arial" w:eastAsia="Arial" w:hAnsi="Arial"/>
          <w:color w:val="1A1A2E"/>
          <w:sz w:val="22"/>
          <w:szCs w:val="22"/>
        </w:rPr>
        <w:t xml:space="preserve">File: events/EmailWatcherEventBus.ts</w:t>
      </w:r>
    </w:p>
    <w:p>
      <w:pPr>
        <w:spacing w:after="40" w:before="40"/>
      </w:pPr>
    </w:p>
    <w:p>
      <w:pPr>
        <w:spacing w:after="80" w:before="60"/>
      </w:pPr>
      <w:r>
        <w:rPr>
          <w:rFonts w:ascii="Arial" w:cs="Arial" w:eastAsia="Arial" w:hAnsi="Arial"/>
          <w:color w:val="1A1A2E"/>
          <w:sz w:val="22"/>
          <w:szCs w:val="22"/>
        </w:rPr>
        <w:t xml:space="preserve">The Observer pattern defines a one-to-many dependency between objects so that when one object changes state, all dependents are notified. SolUPI extends Node.js EventEmitter to decouple the EmailWatcher (event producer) from the OrderService (event consumer).</w:t>
      </w:r>
    </w:p>
    <w:p>
      <w:pPr>
        <w:spacing w:after="40" w:before="40"/>
      </w:pPr>
    </w:p>
    <w:p>
      <w:pPr>
        <w:spacing w:after="80" w:before="60"/>
      </w:pPr>
      <w:r>
        <w:rPr>
          <w:rFonts w:ascii="Arial" w:cs="Arial" w:eastAsia="Arial" w:hAnsi="Arial"/>
          <w:color w:val="1A1A2E"/>
          <w:sz w:val="22"/>
          <w:szCs w:val="22"/>
        </w:rPr>
        <w:t xml:space="preserve">The EmailWatcher has no knowledge of the OrderService. It simply emits a fiat_deposit_received event when it parses a valid bank email. The OrderService subscribes to this event and triggers the verification chain. This loose coupling means the two modules can evolve independently — or multiple services could subscribe to the same event in the future without any changes to the EmailWatcher.</w:t>
      </w:r>
    </w:p>
    <w:p>
      <w:pPr>
        <w:spacing w:after="80" w:before="100"/>
      </w:pPr>
    </w:p>
    <w:p>
      <w:pPr>
        <w:pStyle w:val="Heading3"/>
        <w:spacing w:after="80" w:before="180"/>
      </w:pPr>
      <w:r>
        <w:rPr>
          <w:rFonts w:ascii="Arial" w:cs="Arial" w:eastAsia="Arial" w:hAnsi="Arial"/>
          <w:b/>
          <w:bCs/>
          <w:color w:val="9945FF"/>
          <w:sz w:val="22"/>
          <w:szCs w:val="22"/>
        </w:rPr>
        <w:t xml:space="preserve">Template Method — BaseVerificationHandler</w:t>
      </w:r>
    </w:p>
    <w:p>
      <w:pPr>
        <w:spacing w:after="80" w:before="60"/>
      </w:pPr>
      <w:r>
        <w:rPr>
          <w:rFonts w:ascii="Arial" w:cs="Arial" w:eastAsia="Arial" w:hAnsi="Arial"/>
          <w:color w:val="1A1A2E"/>
          <w:sz w:val="22"/>
          <w:szCs w:val="22"/>
        </w:rPr>
        <w:t xml:space="preserve">File: handlers/IVerificationHandler.ts</w:t>
      </w:r>
    </w:p>
    <w:p>
      <w:pPr>
        <w:spacing w:after="40" w:before="40"/>
      </w:pPr>
    </w:p>
    <w:p>
      <w:pPr>
        <w:spacing w:after="80" w:before="60"/>
      </w:pPr>
      <w:r>
        <w:rPr>
          <w:rFonts w:ascii="Arial" w:cs="Arial" w:eastAsia="Arial" w:hAnsi="Arial"/>
          <w:color w:val="1A1A2E"/>
          <w:sz w:val="22"/>
          <w:szCs w:val="22"/>
        </w:rPr>
        <w:t xml:space="preserve">The Template Method pattern defines the skeleton of an algorithm in a base class, deferring some steps to subclasses. The abstract BaseVerificationHandler defines the algorithm skeleton: call handle(), short-circuit on error, then delegate to the abstract process() method.</w:t>
      </w:r>
    </w:p>
    <w:p>
      <w:pPr>
        <w:spacing w:after="40" w:before="40"/>
      </w:pPr>
    </w:p>
    <w:p>
      <w:pPr>
        <w:spacing w:after="80" w:before="60"/>
      </w:pPr>
      <w:r>
        <w:rPr>
          <w:rFonts w:ascii="Arial" w:cs="Arial" w:eastAsia="Arial" w:hAnsi="Arial"/>
          <w:color w:val="1A1A2E"/>
          <w:sz w:val="22"/>
          <w:szCs w:val="22"/>
        </w:rPr>
        <w:t xml:space="preserve">Every concrete handler in the Chain of Responsibility only needs to implement the process() method — the chain-linking mechanics, error propagation, and next-handler invocation are all inherited from the base class. This eliminates boilerplate and ensures that the chain's control flow is consistent and cannot be accidentally broken by individual handler implementations.</w:t>
      </w:r>
    </w:p>
    <w:p>
      <w:pPr>
        <w:spacing w:after="80" w:before="140"/>
      </w:pPr>
    </w:p>
    <w:p>
      <w:pPr>
        <w:pStyle w:val="Heading2"/>
        <w:spacing w:after="120" w:before="240"/>
      </w:pPr>
      <w:r>
        <w:rPr>
          <w:rFonts w:ascii="Arial" w:cs="Arial" w:eastAsia="Arial" w:hAnsi="Arial"/>
          <w:b/>
          <w:bCs/>
          <w:color w:val="7B2FBE"/>
          <w:sz w:val="26"/>
          <w:szCs w:val="26"/>
        </w:rPr>
        <w:t xml:space="preserve">4.4  Enterprise &amp; Data Patterns</w:t>
      </w:r>
    </w:p>
    <w:p>
      <w:pPr>
        <w:spacing w:after="80" w:before="60"/>
      </w:pPr>
      <w:r>
        <w:rPr>
          <w:rFonts w:ascii="Arial" w:cs="Arial" w:eastAsia="Arial" w:hAnsi="Arial"/>
          <w:color w:val="1A1A2E"/>
          <w:sz w:val="22"/>
          <w:szCs w:val="22"/>
        </w:rPr>
        <w:t xml:space="preserve">Enterprise patterns address recurring problems in enterprise application architecture, particularly around data access, transactions, and query construction.</w:t>
      </w:r>
    </w:p>
    <w:p>
      <w:pPr>
        <w:spacing w:after="60" w:before="60"/>
      </w:pPr>
    </w:p>
    <w:p>
      <w:pPr>
        <w:pStyle w:val="Heading3"/>
        <w:spacing w:after="80" w:before="180"/>
      </w:pPr>
      <w:r>
        <w:rPr>
          <w:rFonts w:ascii="Arial" w:cs="Arial" w:eastAsia="Arial" w:hAnsi="Arial"/>
          <w:b/>
          <w:bCs/>
          <w:color w:val="9945FF"/>
          <w:sz w:val="22"/>
          <w:szCs w:val="22"/>
        </w:rPr>
        <w:t xml:space="preserve">Unit of Work — PayoutUnitOfWork</w:t>
      </w:r>
    </w:p>
    <w:p>
      <w:pPr>
        <w:spacing w:after="80" w:before="60"/>
      </w:pPr>
      <w:r>
        <w:rPr>
          <w:rFonts w:ascii="Arial" w:cs="Arial" w:eastAsia="Arial" w:hAnsi="Arial"/>
          <w:color w:val="1A1A2E"/>
          <w:sz w:val="22"/>
          <w:szCs w:val="22"/>
        </w:rPr>
        <w:t xml:space="preserve">File: uow/PayoutUnitOfWork.ts</w:t>
      </w:r>
    </w:p>
    <w:p>
      <w:pPr>
        <w:spacing w:after="40" w:before="40"/>
      </w:pPr>
    </w:p>
    <w:p>
      <w:pPr>
        <w:spacing w:after="80" w:before="60"/>
      </w:pPr>
      <w:r>
        <w:rPr>
          <w:rFonts w:ascii="Arial" w:cs="Arial" w:eastAsia="Arial" w:hAnsi="Arial"/>
          <w:color w:val="1A1A2E"/>
          <w:sz w:val="22"/>
          <w:szCs w:val="22"/>
        </w:rPr>
        <w:t xml:space="preserve">The Unit of Work pattern maintains a list of objects affected by a business transaction and coordinates the writing of changes and resolution of concurrency problems. PayoutUnitOfWork wraps the two critical database writes — updateCompleted() and markUsed() — in a single Prisma transaction.</w:t>
      </w:r>
    </w:p>
    <w:p>
      <w:pPr>
        <w:spacing w:after="40" w:before="40"/>
      </w:pPr>
    </w:p>
    <w:p>
      <w:pPr>
        <w:spacing w:after="80" w:before="60"/>
      </w:pPr>
      <w:r>
        <w:rPr>
          <w:rFonts w:ascii="Arial" w:cs="Arial" w:eastAsia="Arial" w:hAnsi="Arial"/>
          <w:color w:val="1A1A2E"/>
          <w:sz w:val="22"/>
          <w:szCs w:val="22"/>
        </w:rPr>
        <w:t xml:space="preserve">Before this pattern was implemented, these were two separate database calls. A server crash between them would leave the order marked as Completed, but the email transaction still marked as unused — creating a critical double-spend vulnerability where the same payment could trigger a second USDC transfer. The Unit of Work guarantees atomicity: both writes succeed together, or neither does.</w:t>
      </w:r>
    </w:p>
    <w:p>
      <w:pPr>
        <w:spacing w:after="80" w:before="100"/>
      </w:pPr>
    </w:p>
    <w:p>
      <w:pPr>
        <w:pStyle w:val="Heading3"/>
        <w:spacing w:after="80" w:before="180"/>
      </w:pPr>
      <w:r>
        <w:rPr>
          <w:rFonts w:ascii="Arial" w:cs="Arial" w:eastAsia="Arial" w:hAnsi="Arial"/>
          <w:b/>
          <w:bCs/>
          <w:color w:val="9945FF"/>
          <w:sz w:val="22"/>
          <w:szCs w:val="22"/>
        </w:rPr>
        <w:t xml:space="preserve">Builder — OrderQueryBuilder</w:t>
      </w:r>
    </w:p>
    <w:p>
      <w:pPr>
        <w:spacing w:after="80" w:before="60"/>
      </w:pPr>
      <w:r>
        <w:rPr>
          <w:rFonts w:ascii="Arial" w:cs="Arial" w:eastAsia="Arial" w:hAnsi="Arial"/>
          <w:color w:val="1A1A2E"/>
          <w:sz w:val="22"/>
          <w:szCs w:val="22"/>
        </w:rPr>
        <w:t xml:space="preserve">File: builders/OrderQueryBuilder.ts</w:t>
      </w:r>
    </w:p>
    <w:p>
      <w:pPr>
        <w:spacing w:after="40" w:before="40"/>
      </w:pPr>
    </w:p>
    <w:p>
      <w:pPr>
        <w:spacing w:after="80" w:before="60"/>
      </w:pPr>
      <w:r>
        <w:rPr>
          <w:rFonts w:ascii="Arial" w:cs="Arial" w:eastAsia="Arial" w:hAnsi="Arial"/>
          <w:color w:val="1A1A2E"/>
          <w:sz w:val="22"/>
          <w:szCs w:val="22"/>
        </w:rPr>
        <w:t xml:space="preserve">The Builder pattern separates the construction of a complex object from its representation. OrderQueryBuilder provides a fluent API for constructing database queries for getUserOrders(), replacing a 50-line chain of imperative if/else blocks with a composable, declarative syntax:</w:t>
      </w:r>
    </w:p>
    <w:p>
      <w:pPr>
        <w:spacing w:after="40" w:before="40"/>
      </w:pPr>
    </w:p>
    <w:p>
      <w:pPr>
        <w:spacing w:after="80" w:before="60"/>
      </w:pPr>
      <w:r>
        <w:rPr>
          <w:rFonts w:ascii="Arial" w:cs="Arial" w:eastAsia="Arial" w:hAnsi="Arial"/>
          <w:color w:val="1A1A2E"/>
          <w:sz w:val="22"/>
          <w:szCs w:val="22"/>
        </w:rPr>
        <w:t xml:space="preserve">.forUser(userId).withStatus('COMPLETED').withDateRange(start, end).build()</w:t>
      </w:r>
    </w:p>
    <w:p>
      <w:pPr>
        <w:spacing w:after="40" w:before="40"/>
      </w:pPr>
    </w:p>
    <w:p>
      <w:pPr>
        <w:spacing w:after="80" w:before="60"/>
      </w:pPr>
      <w:r>
        <w:rPr>
          <w:rFonts w:ascii="Arial" w:cs="Arial" w:eastAsia="Arial" w:hAnsi="Arial"/>
          <w:color w:val="1A1A2E"/>
          <w:sz w:val="22"/>
          <w:szCs w:val="22"/>
        </w:rPr>
        <w:t xml:space="preserve">This makes query construction readable and self-documenting. Adding new filter dimensions (e.g., .withMinAmount()) requires adding a single method to the builder without touching any existing query logic. It also makes the query construction trivially testable — each builder method can be verified in isolation.</w:t>
      </w:r>
    </w:p>
    <w:p>
      <w:pPr>
        <w:spacing w:after="80" w:before="140"/>
      </w:pPr>
    </w:p>
    <w:p>
      <w:pPr>
        <w:pStyle w:val="Heading1"/>
        <w:pBdr>
          <w:bottom w:val="single" w:color="9945FF" w:sz="4" w:space="4"/>
        </w:pBdr>
        <w:spacing w:after="160" w:before="320"/>
      </w:pPr>
      <w:r>
        <w:rPr>
          <w:rFonts w:ascii="Arial" w:cs="Arial" w:eastAsia="Arial" w:hAnsi="Arial"/>
          <w:b/>
          <w:bCs/>
          <w:color w:val="1A1A2E"/>
          <w:sz w:val="32"/>
          <w:szCs w:val="32"/>
        </w:rPr>
        <w:t xml:space="preserve">5.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1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Creational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Singleton, Abstract Factory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AppConfig, EmailParserFactory</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Structural</w:t>
            </w:r>
          </w:p>
        </w:tc>
        <w:tc>
          <w:tcPr>
            <w:tcW w:type="dxa" w:w="3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Facade, Decorator (×2), Repository (×2)</w:t>
            </w:r>
          </w:p>
        </w:tc>
        <w:tc>
          <w:tcPr>
            <w:tcW w:type="dxa" w:w="41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SolanaFacade, CachedPricing, LoggedPricing, OrderRepo, EmailTxRepo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Behavioral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Strategy, State Machine, Chain of Responsibility, Command + Bus, Observer, Template Method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IPricingStrategy, OrderStateMachine, VerificationHandlers, OrderCommands, EventBus, BaseHandler</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Enterprise</w:t>
            </w:r>
          </w:p>
        </w:tc>
        <w:tc>
          <w:tcPr>
            <w:tcW w:type="dxa" w:w="3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Unit of Work, Builder</w:t>
            </w:r>
          </w:p>
        </w:tc>
        <w:tc>
          <w:tcPr>
            <w:tcW w:type="dxa" w:w="41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PayoutUnitOfWork, OrderQueryBuilder</w:t>
            </w:r>
          </w:p>
        </w:tc>
      </w:tr>
    </w:tbl>
    <w:p>
      <w:pPr>
        <w:spacing w:after="80" w:before="140"/>
      </w:pPr>
    </w:p>
    <w:p>
      <w:pPr>
        <w:pStyle w:val="Heading1"/>
        <w:pBdr>
          <w:bottom w:val="single" w:color="9945FF" w:sz="4" w:space="4"/>
        </w:pBdr>
        <w:spacing w:after="160" w:before="320"/>
      </w:pPr>
      <w:r>
        <w:rPr>
          <w:rFonts w:ascii="Arial" w:cs="Arial" w:eastAsia="Arial" w:hAnsi="Arial"/>
          <w:b/>
          <w:bCs/>
          <w:color w:val="1A1A2E"/>
          <w:sz w:val="32"/>
          <w:szCs w:val="32"/>
        </w:rPr>
        <w:t xml:space="preserve">6. API Reference</w:t>
      </w:r>
    </w:p>
    <w:p>
      <w:pPr>
        <w:pStyle w:val="Heading2"/>
        <w:spacing w:after="120" w:before="240"/>
      </w:pPr>
      <w:r>
        <w:rPr>
          <w:rFonts w:ascii="Arial" w:cs="Arial" w:eastAsia="Arial" w:hAnsi="Arial"/>
          <w:b/>
          <w:bCs/>
          <w:color w:val="7B2FBE"/>
          <w:sz w:val="26"/>
          <w:szCs w:val="26"/>
        </w:rPr>
        <w:t xml:space="preserve">6.1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9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/api/users/:id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Fetch user profile</w:t>
            </w:r>
          </w:p>
        </w:tc>
      </w:tr>
      <w:tr>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PUT</w:t>
            </w:r>
          </w:p>
        </w:tc>
        <w:tc>
          <w:tcPr>
            <w:tcW w:type="dxa" w:w="3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/api/users/:id</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Update profile (name, mobile, etc.)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/api/users/:id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Delete account</w:t>
            </w:r>
          </w:p>
        </w:tc>
      </w:tr>
    </w:tbl>
    <w:p>
      <w:pPr>
        <w:spacing w:after="80" w:before="100"/>
      </w:pPr>
    </w:p>
    <w:p>
      <w:pPr>
        <w:pStyle w:val="Heading2"/>
        <w:spacing w:after="120" w:before="240"/>
      </w:pPr>
      <w:r>
        <w:rPr>
          <w:rFonts w:ascii="Arial" w:cs="Arial" w:eastAsia="Arial" w:hAnsi="Arial"/>
          <w:b/>
          <w:bCs/>
          <w:color w:val="7B2FBE"/>
          <w:sz w:val="26"/>
          <w:szCs w:val="26"/>
        </w:rPr>
        <w:t xml:space="preserve">6.2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9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/api/orders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 a new buy order</w:t>
            </w:r>
          </w:p>
        </w:tc>
      </w:tr>
      <w:tr>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/api/orders</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 orders with pagination (?page=1&amp;limit=5)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/api/orders/:id/utr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Submit UTR number for verification</w:t>
            </w:r>
          </w:p>
        </w:tc>
      </w:tr>
      <w:tr>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bCs/>
                <w:color w:val="1A1A2E"/>
                <w:sz w:val="20"/>
                <w:szCs w:val="20"/>
              </w:rPr>
              <w:t xml:space="preserve">DELETE</w:t>
            </w:r>
          </w:p>
        </w:tc>
        <w:tc>
          <w:tcPr>
            <w:tcW w:type="dxa" w:w="3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/api/orders/:id</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Cancel a pending order</w:t>
            </w:r>
          </w:p>
        </w:tc>
      </w:tr>
    </w:tbl>
    <w:p>
      <w:pPr>
        <w:spacing w:after="80" w:before="140"/>
      </w:pPr>
    </w:p>
    <w:p>
      <w:pPr>
        <w:pStyle w:val="Heading1"/>
        <w:pBdr>
          <w:bottom w:val="single" w:color="9945FF" w:sz="4" w:space="4"/>
        </w:pBdr>
        <w:spacing w:after="160" w:before="320"/>
      </w:pPr>
      <w:r>
        <w:rPr>
          <w:rFonts w:ascii="Arial" w:cs="Arial" w:eastAsia="Arial" w:hAnsi="Arial"/>
          <w:b/>
          <w:bCs/>
          <w:color w:val="1A1A2E"/>
          <w:sz w:val="32"/>
          <w:szCs w:val="32"/>
        </w:rPr>
        <w:t xml:space="preserve">7. Roadmap</w:t>
      </w:r>
    </w:p>
    <w:p>
      <w:pPr>
        <w:pStyle w:val="ListParagraph"/>
        <w:numPr>
          <w:ilvl w:val="0"/>
          <w:numId w:val="2"/>
        </w:numPr>
        <w:spacing w:after="40" w:before="40"/>
      </w:pPr>
      <w:r>
        <w:rPr>
          <w:rFonts w:ascii="Arial" w:cs="Arial" w:eastAsia="Arial" w:hAnsi="Arial"/>
          <w:color w:val="1A1A2E"/>
          <w:sz w:val="22"/>
          <w:szCs w:val="22"/>
        </w:rPr>
        <w:t xml:space="preserve">KYC integration for regulatory-compliant identity verification.</w:t>
      </w:r>
    </w:p>
    <w:p>
      <w:pPr>
        <w:pStyle w:val="ListParagraph"/>
        <w:numPr>
          <w:ilvl w:val="0"/>
          <w:numId w:val="2"/>
        </w:numPr>
        <w:spacing w:after="40" w:before="40"/>
      </w:pPr>
      <w:r>
        <w:rPr>
          <w:rFonts w:ascii="Arial" w:cs="Arial" w:eastAsia="Arial" w:hAnsi="Arial"/>
          <w:color w:val="1A1A2E"/>
          <w:sz w:val="22"/>
          <w:szCs w:val="22"/>
        </w:rPr>
        <w:t xml:space="preserve">Multi-chain support — Ethereum, Polygon bridges.</w:t>
      </w:r>
    </w:p>
    <w:p>
      <w:pPr>
        <w:pStyle w:val="ListParagraph"/>
        <w:numPr>
          <w:ilvl w:val="0"/>
          <w:numId w:val="2"/>
        </w:numPr>
        <w:spacing w:after="40" w:before="40"/>
      </w:pPr>
      <w:r>
        <w:rPr>
          <w:rFonts w:ascii="Arial" w:cs="Arial" w:eastAsia="Arial" w:hAnsi="Arial"/>
          <w:color w:val="1A1A2E"/>
          <w:sz w:val="22"/>
          <w:szCs w:val="22"/>
        </w:rPr>
        <w:t xml:space="preserve">P2P marketplace for crypto-to-fiat off-ramping.</w:t>
      </w:r>
    </w:p>
    <w:p>
      <w:pPr>
        <w:pStyle w:val="ListParagraph"/>
        <w:numPr>
          <w:ilvl w:val="0"/>
          <w:numId w:val="2"/>
        </w:numPr>
        <w:spacing w:after="40" w:before="40"/>
      </w:pPr>
      <w:r>
        <w:rPr>
          <w:rFonts w:ascii="Arial" w:cs="Arial" w:eastAsia="Arial" w:hAnsi="Arial"/>
          <w:color w:val="1A1A2E"/>
          <w:sz w:val="22"/>
          <w:szCs w:val="22"/>
        </w:rPr>
        <w:t xml:space="preserve">Native mobile applications for iOS and Android.</w:t>
      </w:r>
    </w:p>
    <w:p>
      <w:pPr>
        <w:pStyle w:val="ListParagraph"/>
        <w:numPr>
          <w:ilvl w:val="0"/>
          <w:numId w:val="2"/>
        </w:numPr>
        <w:spacing w:after="40" w:before="40"/>
      </w:pPr>
      <w:r>
        <w:rPr>
          <w:rFonts w:ascii="Arial" w:cs="Arial" w:eastAsia="Arial" w:hAnsi="Arial"/>
          <w:color w:val="1A1A2E"/>
          <w:sz w:val="22"/>
          <w:szCs w:val="22"/>
        </w:rPr>
        <w:t xml:space="preserve">Chainlink oracle integration for decentralised, tamper-proof pricing.</w:t>
      </w:r>
    </w:p>
    <w:p>
      <w:pPr>
        <w:pStyle w:val="ListParagraph"/>
        <w:numPr>
          <w:ilvl w:val="0"/>
          <w:numId w:val="2"/>
        </w:numPr>
        <w:spacing w:after="40" w:before="40"/>
      </w:pPr>
      <w:r>
        <w:rPr>
          <w:rFonts w:ascii="Arial" w:cs="Arial" w:eastAsia="Arial" w:hAnsi="Arial"/>
          <w:color w:val="1A1A2E"/>
          <w:sz w:val="22"/>
          <w:szCs w:val="22"/>
        </w:rPr>
        <w:t xml:space="preserve">Support for additional Indian banks in the EmailParserFactory.</w:t>
      </w:r>
    </w:p>
    <w:p>
      <w:pPr>
        <w:spacing w:after="80" w:before="140"/>
      </w:pPr>
    </w:p>
    <w:p>
      <w:pPr>
        <w:pStyle w:val="Heading1"/>
        <w:pBdr>
          <w:bottom w:val="single" w:color="9945FF" w:sz="4" w:space="4"/>
        </w:pBdr>
        <w:spacing w:after="160" w:before="320"/>
      </w:pPr>
      <w:r>
        <w:rPr>
          <w:rFonts w:ascii="Arial" w:cs="Arial" w:eastAsia="Arial" w:hAnsi="Arial"/>
          <w:b/>
          <w:bCs/>
          <w:color w:val="1A1A2E"/>
          <w:sz w:val="32"/>
          <w:szCs w:val="32"/>
        </w:rPr>
        <w:t xml:space="preserve">8. Contributors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500"/>
        <w:gridCol w:w="2940"/>
      </w:tblGrid>
      <w:tr>
        <w:trPr>
          <w:tblHeader/>
        </w:trPr>
        <w:tc>
          <w:tcPr>
            <w:tcW w:type="dxa" w:w="72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S.No</w:t>
            </w:r>
          </w:p>
        </w:tc>
        <w:tc>
          <w:tcPr>
            <w:tcW w:type="dxa" w:w="220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Enrollment No.</w:t>
            </w:r>
          </w:p>
        </w:tc>
        <w:tc>
          <w:tcPr>
            <w:tcW w:type="dxa" w:w="350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Name</w:t>
            </w:r>
          </w:p>
        </w:tc>
        <w:tc>
          <w:tcPr>
            <w:tcW w:type="dxa" w:w="2940"/>
            <w:tcBorders>
              <w:top w:val="single" w:color="CCCCCC" w:sz="1"/>
              <w:left w:val="single" w:color="CCCCCC" w:sz="1"/>
              <w:bottom w:val="single" w:color="CCCCCC" w:sz="1"/>
              <w:right w:val="single" w:color="CCCCCC" w:sz="1"/>
            </w:tcBorders>
            <w:shd w:fill="2D006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Role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2401020041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Naveen Kumar</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Lead Developer / Blockchain</w:t>
            </w:r>
          </w:p>
        </w:tc>
      </w:tr>
      <w:tr>
        <w:tc>
          <w:tcPr>
            <w:tcW w:type="dxa" w:w="72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2</w:t>
            </w:r>
          </w:p>
        </w:tc>
        <w:tc>
          <w:tcPr>
            <w:tcW w:type="dxa" w:w="22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2401020097</w:t>
            </w:r>
          </w:p>
        </w:tc>
        <w:tc>
          <w:tcPr>
            <w:tcW w:type="dxa" w:w="35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Krish Garg</w:t>
            </w:r>
          </w:p>
        </w:tc>
        <w:tc>
          <w:tcPr>
            <w:tcW w:type="dxa" w:w="294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Backend Architecture / Design Patterns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2401010321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Parul</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Frontend Developer / UI/UX</w:t>
            </w:r>
          </w:p>
        </w:tc>
      </w:tr>
      <w:tr>
        <w:tc>
          <w:tcPr>
            <w:tcW w:type="dxa" w:w="72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4</w:t>
            </w:r>
          </w:p>
        </w:tc>
        <w:tc>
          <w:tcPr>
            <w:tcW w:type="dxa" w:w="22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2401010032</w:t>
            </w:r>
          </w:p>
        </w:tc>
        <w:tc>
          <w:tcPr>
            <w:tcW w:type="dxa" w:w="35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Aditya Raj</w:t>
            </w:r>
          </w:p>
        </w:tc>
        <w:tc>
          <w:tcPr>
            <w:tcW w:type="dxa" w:w="294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Database Design / ORM</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2401020084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Akhil Sharma</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DevOps / Deployment</w:t>
            </w:r>
          </w:p>
        </w:tc>
      </w:tr>
      <w:tr>
        <w:tc>
          <w:tcPr>
            <w:tcW w:type="dxa" w:w="72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6</w:t>
            </w:r>
          </w:p>
        </w:tc>
        <w:tc>
          <w:tcPr>
            <w:tcW w:type="dxa" w:w="22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2401010079</w:t>
            </w:r>
          </w:p>
        </w:tc>
        <w:tc>
          <w:tcPr>
            <w:tcW w:type="dxa" w:w="350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Ansh Tomar</w:t>
            </w:r>
          </w:p>
        </w:tc>
        <w:tc>
          <w:tcPr>
            <w:tcW w:type="dxa" w:w="2940"/>
            <w:tcBorders>
              <w:top w:val="single" w:color="CCCCCC" w:sz="1"/>
              <w:left w:val="single" w:color="CCCCCC" w:sz="1"/>
              <w:bottom w:val="single" w:color="CCCCCC" w:sz="1"/>
              <w:right w:val="single" w:color="CCCCCC" w:sz="1"/>
            </w:tcBorders>
            <w:shd w:fill="F3EE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Email Parsing / Automation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A1A2E"/>
                <w:sz w:val="21"/>
                <w:szCs w:val="21"/>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1A2E"/>
                <w:sz w:val="21"/>
                <w:szCs w:val="21"/>
              </w:rPr>
              <w:t xml:space="preserve">2401010359</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Punit</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1"/>
                <w:szCs w:val="21"/>
              </w:rPr>
              <w:t xml:space="preserve">Testing / Documentation</w:t>
            </w:r>
          </w:p>
        </w:tc>
      </w:tr>
    </w:tbl>
    <w:p>
      <w:pPr>
        <w:spacing w:after="100" w:before="200"/>
      </w:pPr>
    </w:p>
    <w:p>
      <w:pPr>
        <w:spacing w:after="80" w:before="200"/>
        <w:jc w:val="center"/>
      </w:pPr>
      <w:r>
        <w:rPr>
          <w:rFonts w:ascii="Arial" w:cs="Arial" w:eastAsia="Arial" w:hAnsi="Arial"/>
          <w:i/>
          <w:iCs/>
          <w:color w:val="666666"/>
          <w:sz w:val="18"/>
          <w:szCs w:val="18"/>
        </w:rPr>
        <w:t xml:space="preserve">MIT License  ·  github.com/naveenkumar29052006/SolUPI-V2</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F195" w:sz="4" w:space="4"/>
      </w:pBdr>
      <w:tabs>
        <w:tab w:val="right" w:pos="9026"/>
      </w:tabs>
      <w:spacing w:after="0" w:before="80"/>
    </w:pPr>
    <w:r>
      <w:rPr>
        <w:rFonts w:ascii="Arial" w:cs="Arial" w:eastAsia="Arial" w:hAnsi="Arial"/>
        <w:color w:val="666666"/>
        <w:sz w:val="16"/>
        <w:szCs w:val="16"/>
      </w:rPr>
      <w:t xml:space="preserve">Dept. of CSE — SolUPI Capstone 2024-25</w:t>
    </w:r>
    <w:r>
      <w:rPr>
        <w:rFonts w:ascii="Arial" w:cs="Arial" w:eastAsia="Arial" w:hAnsi="Arial"/>
        <w:sz w:val="16"/>
        <w:szCs w:val="16"/>
      </w:rPr>
      <w:t xml:space="preserve">	</w:t>
    </w:r>
    <w:r>
      <w:rPr>
        <w:rFonts w:ascii="Arial" w:cs="Arial" w:eastAsia="Arial" w:hAnsi="Arial"/>
        <w:color w:val="6666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45FF" w:sz="4" w:space="4"/>
      </w:pBdr>
      <w:tabs>
        <w:tab w:val="right" w:pos="9026"/>
      </w:tabs>
      <w:spacing w:after="80" w:before="0"/>
    </w:pPr>
    <w:r>
      <w:rPr>
        <w:rFonts w:ascii="Arial" w:cs="Arial" w:eastAsia="Arial" w:hAnsi="Arial"/>
        <w:b/>
        <w:bCs/>
        <w:color w:val="7B2FBE"/>
        <w:sz w:val="18"/>
        <w:szCs w:val="18"/>
      </w:rPr>
      <w:t xml:space="preserve">SolUPI — Project Documentation</w:t>
    </w:r>
    <w:r>
      <w:rPr>
        <w:rFonts w:ascii="Arial" w:cs="Arial" w:eastAsia="Arial" w:hAnsi="Arial"/>
        <w:sz w:val="18"/>
        <w:szCs w:val="18"/>
      </w:rPr>
      <w:t xml:space="preserve">	</w:t>
    </w:r>
    <w:r>
      <w:rPr>
        <w:rFonts w:ascii="Arial" w:cs="Arial" w:eastAsia="Arial" w:hAnsi="Arial"/>
        <w:i/>
        <w:iCs/>
        <w:color w:val="666666"/>
        <w:sz w:val="18"/>
        <w:szCs w:val="18"/>
      </w:rPr>
      <w:t xml:space="preserve">Confidential | Academic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B2FB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9945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2026-04-28T05:21:36.459Z</dcterms:created>
  <dcterms:modified xsi:type="dcterms:W3CDTF">2026-04-28T05:21:36.460Z</dcterms:modified>
</cp:coreProperties>
</file>

<file path=docProps/custom.xml><?xml version="1.0" encoding="utf-8"?>
<Properties xmlns="http://schemas.openxmlformats.org/officeDocument/2006/custom-properties" xmlns:vt="http://schemas.openxmlformats.org/officeDocument/2006/docPropsVTypes"/>
</file>