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Security Orchestration &amp; Risk Platform</w:t>
        <w:br/>
        <w:t>Design &amp; Development Plan (DDP)</w:t>
      </w:r>
    </w:p>
    <w:p>
      <w:pPr>
        <w:jc w:val="center"/>
      </w:pPr>
      <w:r>
        <w:rPr>
          <w:sz w:val="22"/>
        </w:rPr>
        <w:t>From High-Level Design to Execution</w:t>
        <w:br/>
        <w:t>Architecture • Development Roadmap • Compliance</w:t>
      </w:r>
    </w:p>
    <w:p>
      <w:pPr>
        <w:jc w:val="center"/>
      </w:pPr>
      <w:r>
        <w:rPr>
          <w:i/>
        </w:rPr>
        <w:t>August 22, 2025</w:t>
      </w:r>
    </w:p>
    <w:p>
      <w:r>
        <w:br w:type="page"/>
      </w:r>
    </w:p>
    <w:p>
      <w:pPr>
        <w:pStyle w:val="Heading1"/>
      </w:pPr>
      <w:r>
        <w:t>3. Detailed Architecture</w:t>
      </w:r>
    </w:p>
    <w:p>
      <w:r>
        <w:drawing>
          <wp:inline xmlns:a="http://schemas.openxmlformats.org/drawingml/2006/main" xmlns:pic="http://schemas.openxmlformats.org/drawingml/2006/picture">
            <wp:extent cx="5943600" cy="32186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DP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6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Refined architecture diagram (aligned layers).</w:t>
      </w:r>
    </w:p>
    <w:p>
      <w:pPr>
        <w:pStyle w:val="Heading1"/>
      </w:pPr>
      <w:r>
        <w:t>6. Data Model (Detailed)</w:t>
      </w:r>
    </w:p>
    <w:p>
      <w:r>
        <w:drawing>
          <wp:inline xmlns:a="http://schemas.openxmlformats.org/drawingml/2006/main" xmlns:pic="http://schemas.openxmlformats.org/drawingml/2006/picture">
            <wp:extent cx="5943600" cy="32186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DP_Data_Mode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6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Refined data model diagram with entity relationships.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Text">
    <w:name w:val="BodyText"/>
    <w:rPr>
      <w:rFonts w:ascii="Calibri" w:hAnsi="Calibri" w:eastAsia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