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Security Orchestration &amp; Risk Platform</w:t>
        <w:br/>
        <w:t>High‑Level Design (HLD)</w:t>
      </w:r>
    </w:p>
    <w:p>
      <w:pPr>
        <w:jc w:val="center"/>
      </w:pPr>
      <w:r>
        <w:rPr>
          <w:sz w:val="22"/>
        </w:rPr>
        <w:t>Architecture • Threat Model • Data Model • Risk Scoring • Deployment • Roadmap</w:t>
      </w:r>
    </w:p>
    <w:p>
      <w:pPr>
        <w:jc w:val="center"/>
      </w:pPr>
      <w:r>
        <w:rPr>
          <w:i/>
        </w:rPr>
        <w:t>August 22, 2025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This document defines the high‑level design for a modular security orchestration platform that discovers, scans, and prioritizes architectural risks across code, pipelines, containers, cloud/Kubernetes, and external exposure. The platform emphasizes Zero Trust, Policy‑as‑Code, evidence‑driven governance, and an asset/relationship graph to highlight blast radius and attack paths.</w:t>
      </w:r>
    </w:p>
    <w:p>
      <w:r>
        <w:t>Key tenets:</w:t>
      </w:r>
    </w:p>
    <w:p>
      <w:pPr>
        <w:pStyle w:val="ListBullet"/>
      </w:pPr>
      <w:r>
        <w:t xml:space="preserve"> Zero Trust by default (OIDC/SAML SSO, RBAC/ABAC, least privilege, short‑lived tokens).</w:t>
      </w:r>
    </w:p>
    <w:p>
      <w:pPr>
        <w:pStyle w:val="ListBullet"/>
      </w:pPr>
      <w:r>
        <w:t xml:space="preserve"> Policy‑as‑Code (OPA/Rego) with exemptions requiring justification and expiry.</w:t>
      </w:r>
    </w:p>
    <w:p>
      <w:pPr>
        <w:pStyle w:val="ListBullet"/>
      </w:pPr>
      <w:r>
        <w:t xml:space="preserve"> Evidence &amp; auditability (immutable artifacts, signed attestations, versioned policies).</w:t>
      </w:r>
    </w:p>
    <w:p>
      <w:pPr>
        <w:pStyle w:val="ListBullet"/>
      </w:pPr>
      <w:r>
        <w:t xml:space="preserve"> Data minimization and residency; encryption in transit/at rest; field‑level redaction.</w:t>
      </w:r>
    </w:p>
    <w:p>
      <w:pPr>
        <w:pStyle w:val="ListBullet"/>
      </w:pPr>
      <w:r>
        <w:t xml:space="preserve"> Noise control (exploitability, exposure, criticality, compensating controls).</w:t>
      </w:r>
    </w:p>
    <w:p>
      <w:pPr>
        <w:pStyle w:val="ListBullet"/>
      </w:pPr>
      <w:r>
        <w:t xml:space="preserve"> Extensible plug‑in SDK for scanners; event‑driven jobs; normalized findings model.</w:t>
      </w:r>
    </w:p>
    <w:p>
      <w:pPr>
        <w:pStyle w:val="Heading1"/>
      </w:pPr>
      <w:r>
        <w:t>2. Scope &amp; Goals</w:t>
      </w:r>
    </w:p>
    <w:p>
      <w:r>
        <w:t>Goals: actionable, architecture‑aware risk reduction; fast MVP; OSS‑first; compliance‑ready.</w:t>
      </w:r>
    </w:p>
    <w:p>
      <w:r>
        <w:t>Out of scope (initially): full SOAR playbooks, deep red‑team tooling, and full ASM breadth.</w:t>
      </w:r>
    </w:p>
    <w:p>
      <w:pPr>
        <w:pStyle w:val="Heading1"/>
      </w:pPr>
      <w:r>
        <w:t>3. Architecture Overview</w:t>
      </w:r>
    </w:p>
    <w:p>
      <w:r>
        <w:t>The platform uses a Spring Boot core with a React/Vue dashboard, Spring Cloud Gateway as an API gateway, and independent Spring Boot microservices for scanners (SAST, IaC, CI/CD, SBOM/Image, CSPM/KSPM). A queue (Kafka/RabbitMQ) schedules work; raw reports and SBOMs are stored in an object store; normalized findings and relationships are persisted in PostgreSQL, with a graph view for architectural analysis.</w:t>
      </w:r>
    </w:p>
    <w:p>
      <w:r>
        <w:drawing>
          <wp:inline xmlns:a="http://schemas.openxmlformats.org/drawingml/2006/main" xmlns:pic="http://schemas.openxmlformats.org/drawingml/2006/picture">
            <wp:extent cx="5943600" cy="35439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High‑level component interactions and integrations.</w:t>
      </w:r>
    </w:p>
    <w:p>
      <w:pPr>
        <w:pStyle w:val="Heading2"/>
      </w:pPr>
      <w:r>
        <w:t>3.1 Components</w:t>
      </w:r>
    </w:p>
    <w:p>
      <w:pPr>
        <w:pStyle w:val="ListNumber"/>
      </w:pPr>
      <w:r>
        <w:rPr>
          <w:b/>
        </w:rPr>
        <w:t xml:space="preserve">API Gateway: </w:t>
      </w:r>
      <w:r>
        <w:t>Routing, auth offloading, rate limiting; service discovery to scanners.</w:t>
      </w:r>
    </w:p>
    <w:p>
      <w:pPr>
        <w:pStyle w:val="ListNumber"/>
      </w:pPr>
      <w:r>
        <w:rPr>
          <w:b/>
        </w:rPr>
        <w:t xml:space="preserve">Core Engine: </w:t>
      </w:r>
      <w:r>
        <w:t>Job orchestration, normalization, risk scoring, suppression/SLO governance, integrations.</w:t>
      </w:r>
    </w:p>
    <w:p>
      <w:pPr>
        <w:pStyle w:val="ListNumber"/>
      </w:pPr>
      <w:r>
        <w:rPr>
          <w:b/>
        </w:rPr>
        <w:t xml:space="preserve">Scanner Workers: </w:t>
      </w:r>
      <w:r>
        <w:t>SAST/IaC/CI‑CD/Container/CSPM/KSPM; pluggable via SDK; idempotent with content‑hashing.</w:t>
      </w:r>
    </w:p>
    <w:p>
      <w:pPr>
        <w:pStyle w:val="ListNumber"/>
      </w:pPr>
      <w:r>
        <w:rPr>
          <w:b/>
        </w:rPr>
        <w:t xml:space="preserve">Queue: </w:t>
      </w:r>
      <w:r>
        <w:t>Back‑pressure, retries, dead‑letter; scalable fan‑out for large repos/orgs.</w:t>
      </w:r>
    </w:p>
    <w:p>
      <w:pPr>
        <w:pStyle w:val="ListNumber"/>
      </w:pPr>
      <w:r>
        <w:rPr>
          <w:b/>
        </w:rPr>
        <w:t xml:space="preserve">Storage: </w:t>
      </w:r>
      <w:r>
        <w:t>Object store for raw artifacts; PostgreSQL for normalized data; optional graph store/view.</w:t>
      </w:r>
    </w:p>
    <w:p>
      <w:pPr>
        <w:pStyle w:val="ListNumber"/>
      </w:pPr>
      <w:r>
        <w:rPr>
          <w:b/>
        </w:rPr>
        <w:t xml:space="preserve">Policy Engine: </w:t>
      </w:r>
      <w:r>
        <w:t>OPA/Rego policies; compliance mappings; exemption workflow with expiry.</w:t>
      </w:r>
    </w:p>
    <w:p>
      <w:pPr>
        <w:pStyle w:val="ListNumber"/>
      </w:pPr>
      <w:r>
        <w:rPr>
          <w:b/>
        </w:rPr>
        <w:t xml:space="preserve">Dashboard: </w:t>
      </w:r>
      <w:r>
        <w:t>Executive and engineer views, triage workflows, reports/exports; SSO‑aware.</w:t>
      </w:r>
    </w:p>
    <w:p>
      <w:pPr>
        <w:pStyle w:val="Heading1"/>
      </w:pPr>
      <w:r>
        <w:t>4. Threat Model</w:t>
      </w:r>
    </w:p>
    <w:p>
      <w:r>
        <w:t>Assets: tenant data (findings, SBOMs), credentials/tokens, policies, audit logs, binaries, diagrams.</w:t>
      </w:r>
    </w:p>
    <w:p>
      <w:r>
        <w:t>Trust boundaries: user browser ↔ gateway ↔ core; core ↔ workers; workers ↔ VCS/CI/cloud; multi‑tenant data.</w:t>
      </w:r>
    </w:p>
    <w:p>
      <w:r>
        <w:t>Methodology: STRIDE with mitigations.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STRIDE</w:t>
            </w:r>
          </w:p>
        </w:tc>
        <w:tc>
          <w:tcPr>
            <w:tcW w:type="dxa" w:w="2880"/>
          </w:tcPr>
          <w:p>
            <w:r>
              <w:t>Risk Example</w:t>
            </w:r>
          </w:p>
        </w:tc>
        <w:tc>
          <w:tcPr>
            <w:tcW w:type="dxa" w:w="2880"/>
          </w:tcPr>
          <w:p>
            <w:r>
              <w:t>Mitigations</w:t>
            </w:r>
          </w:p>
        </w:tc>
      </w:tr>
      <w:tr>
        <w:tc>
          <w:tcPr>
            <w:tcW w:type="dxa" w:w="2880"/>
          </w:tcPr>
          <w:p>
            <w:r>
              <w:t>Spoofing</w:t>
            </w:r>
          </w:p>
        </w:tc>
        <w:tc>
          <w:tcPr>
            <w:tcW w:type="dxa" w:w="2880"/>
          </w:tcPr>
          <w:p>
            <w:r>
              <w:t>Token theft / SSO misuse</w:t>
            </w:r>
          </w:p>
        </w:tc>
        <w:tc>
          <w:tcPr>
            <w:tcW w:type="dxa" w:w="2880"/>
          </w:tcPr>
          <w:p>
            <w:r>
              <w:t>OIDC/OAuth2, short‑lived tokens, mTLS, client secrets in KMS</w:t>
            </w:r>
          </w:p>
        </w:tc>
      </w:tr>
      <w:tr>
        <w:tc>
          <w:tcPr>
            <w:tcW w:type="dxa" w:w="2880"/>
          </w:tcPr>
          <w:p>
            <w:r>
              <w:t>Tampering</w:t>
            </w:r>
          </w:p>
        </w:tc>
        <w:tc>
          <w:tcPr>
            <w:tcW w:type="dxa" w:w="2880"/>
          </w:tcPr>
          <w:p>
            <w:r>
              <w:t>Report/attestation alteration</w:t>
            </w:r>
          </w:p>
        </w:tc>
        <w:tc>
          <w:tcPr>
            <w:tcW w:type="dxa" w:w="2880"/>
          </w:tcPr>
          <w:p>
            <w:r>
              <w:t>Immutable object store, signatures (cosign/in‑toto), audit trails</w:t>
            </w:r>
          </w:p>
        </w:tc>
      </w:tr>
      <w:tr>
        <w:tc>
          <w:tcPr>
            <w:tcW w:type="dxa" w:w="2880"/>
          </w:tcPr>
          <w:p>
            <w:r>
              <w:t>Repudiation</w:t>
            </w:r>
          </w:p>
        </w:tc>
        <w:tc>
          <w:tcPr>
            <w:tcW w:type="dxa" w:w="2880"/>
          </w:tcPr>
          <w:p>
            <w:r>
              <w:t>Operator actions denied</w:t>
            </w:r>
          </w:p>
        </w:tc>
        <w:tc>
          <w:tcPr>
            <w:tcW w:type="dxa" w:w="2880"/>
          </w:tcPr>
          <w:p>
            <w:r>
              <w:t>Signed audit logs, time sync, non‑repudiation policies</w:t>
            </w:r>
          </w:p>
        </w:tc>
      </w:tr>
      <w:tr>
        <w:tc>
          <w:tcPr>
            <w:tcW w:type="dxa" w:w="2880"/>
          </w:tcPr>
          <w:p>
            <w:r>
              <w:t>Information Disclosure</w:t>
            </w:r>
          </w:p>
        </w:tc>
        <w:tc>
          <w:tcPr>
            <w:tcW w:type="dxa" w:w="2880"/>
          </w:tcPr>
          <w:p>
            <w:r>
              <w:t>PII leakage in logs</w:t>
            </w:r>
          </w:p>
        </w:tc>
        <w:tc>
          <w:tcPr>
            <w:tcW w:type="dxa" w:w="2880"/>
          </w:tcPr>
          <w:p>
            <w:r>
              <w:t>Data minimization, redaction, differential logging</w:t>
            </w:r>
          </w:p>
        </w:tc>
      </w:tr>
      <w:tr>
        <w:tc>
          <w:tcPr>
            <w:tcW w:type="dxa" w:w="2880"/>
          </w:tcPr>
          <w:p>
            <w:r>
              <w:t>Denial of Service</w:t>
            </w:r>
          </w:p>
        </w:tc>
        <w:tc>
          <w:tcPr>
            <w:tcW w:type="dxa" w:w="2880"/>
          </w:tcPr>
          <w:p>
            <w:r>
              <w:t>Scan storms / hot repos</w:t>
            </w:r>
          </w:p>
        </w:tc>
        <w:tc>
          <w:tcPr>
            <w:tcW w:type="dxa" w:w="2880"/>
          </w:tcPr>
          <w:p>
            <w:r>
              <w:t>Rate limits, quotas per tenant, autoscaling workers</w:t>
            </w:r>
          </w:p>
        </w:tc>
      </w:tr>
      <w:tr>
        <w:tc>
          <w:tcPr>
            <w:tcW w:type="dxa" w:w="2880"/>
          </w:tcPr>
          <w:p>
            <w:r>
              <w:t>Elevation of Privilege</w:t>
            </w:r>
          </w:p>
        </w:tc>
        <w:tc>
          <w:tcPr>
            <w:tcW w:type="dxa" w:w="2880"/>
          </w:tcPr>
          <w:p>
            <w:r>
              <w:t>Over‑broad roles/SCM tokens</w:t>
            </w:r>
          </w:p>
        </w:tc>
        <w:tc>
          <w:tcPr>
            <w:tcW w:type="dxa" w:w="2880"/>
          </w:tcPr>
          <w:p>
            <w:r>
              <w:t>RBAC/ABAC, scoped tokens, approval workflows</w:t>
            </w:r>
          </w:p>
        </w:tc>
      </w:tr>
    </w:tbl>
    <w:p>
      <w:pPr>
        <w:pStyle w:val="Heading1"/>
      </w:pPr>
      <w:r>
        <w:t>5. Data Model</w:t>
      </w:r>
    </w:p>
    <w:p>
      <w:r>
        <w:t>Normalized entities and key relations are depicted below; graph view supports attack‑path analytics.</w:t>
      </w:r>
    </w:p>
    <w:p>
      <w:r>
        <w:drawing>
          <wp:inline xmlns:a="http://schemas.openxmlformats.org/drawingml/2006/main" xmlns:pic="http://schemas.openxmlformats.org/drawingml/2006/picture">
            <wp:extent cx="5943600" cy="35439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LD_Data_Mode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Core entities (assets, components, scans, findings, policies, attestations, audit).</w:t>
      </w:r>
    </w:p>
    <w:p>
      <w:pPr>
        <w:pStyle w:val="Heading1"/>
      </w:pPr>
      <w:r>
        <w:t>6. Risk Scoring</w:t>
      </w:r>
    </w:p>
    <w:p>
      <w:r>
        <w:t>Score = Severity × Exploitability × Exposure × Asset Criticality × Compensating Controls. Exploitability considers public exploits and KEV/EPSS‑like signals; Exposure captures internet‑facing reachability and lateral movement via the asset graph; Criticality is business/data tier; Controls reflect WAF, network policies, and runtime protections.</w:t>
      </w:r>
    </w:p>
    <w:p>
      <w:r>
        <w:t>Prioritization: show 'Fix First' list with rationale and exact patch/config snippets.</w:t>
      </w:r>
    </w:p>
    <w:p>
      <w:pPr>
        <w:pStyle w:val="Heading1"/>
      </w:pPr>
      <w:r>
        <w:t>7. Findings Lifecycle &amp; Governance</w:t>
      </w:r>
    </w:p>
    <w:p>
      <w:r>
        <w:rPr>
          <w:b/>
        </w:rPr>
        <w:t xml:space="preserve">States: </w:t>
      </w:r>
      <w:r>
        <w:t xml:space="preserve">New → Triaged → Assigned → Mitigated/Fixed → Verified → Closed; Won’t‑Fix with expiry. </w:t>
      </w:r>
    </w:p>
    <w:p>
      <w:r>
        <w:t>SLOs: e.g., Critical on internet‑facing assets fixed ≤ 7 days; auto‑reopen on context change (new exploit, exposure change).</w:t>
      </w:r>
    </w:p>
    <w:p>
      <w:pPr>
        <w:pStyle w:val="Heading1"/>
      </w:pPr>
      <w:r>
        <w:t>8. Integrations</w:t>
      </w:r>
    </w:p>
    <w:p>
      <w:r>
        <w:t>SCM/CI: GitHub/GitLab/Jenkins/Azure DevOps; PR annotations, required checks.</w:t>
      </w:r>
    </w:p>
    <w:p>
      <w:r>
        <w:t>Ticketing/Chat: Jira/Azure Boards; Slack/Teams deep links.</w:t>
      </w:r>
    </w:p>
    <w:p>
      <w:r>
        <w:t>SIEM/SOAR: Splunk/Elastic/Chronicle exports and webhooks for playbooks.</w:t>
      </w:r>
    </w:p>
    <w:p>
      <w:pPr>
        <w:pStyle w:val="Heading1"/>
      </w:pPr>
      <w:r>
        <w:t>9. Deployment Topologies</w:t>
      </w:r>
    </w:p>
    <w:p>
      <w:r>
        <w:t>SaaS multi‑tenant: per‑tenant schema or RLS; region‑pinned storage (e.g., ap‑southeast‑2 for AU).</w:t>
      </w:r>
    </w:p>
    <w:p>
      <w:r>
        <w:t>Private/Air‑gapped: offline scanner bundles; mirrored registries; optional agent; license server; strict egress controls.</w:t>
      </w:r>
    </w:p>
    <w:p>
      <w:r>
        <w:t>Backups &amp; DR: defined RPO/RTO; cross‑region encrypted backups; restore drills.</w:t>
      </w:r>
    </w:p>
    <w:p>
      <w:pPr>
        <w:pStyle w:val="Heading1"/>
      </w:pPr>
      <w:r>
        <w:t>10. Roadmap</w:t>
      </w:r>
    </w:p>
    <w:p>
      <w:r>
        <w:t>MVP (6–8 weeks):</w:t>
      </w:r>
    </w:p>
    <w:p>
      <w:pPr>
        <w:pStyle w:val="ListBullet"/>
      </w:pPr>
      <w:r>
        <w:t>Engine + Dashboard + PostgreSQL + Liquibase</w:t>
      </w:r>
    </w:p>
    <w:p>
      <w:pPr>
        <w:pStyle w:val="ListBullet"/>
      </w:pPr>
      <w:r>
        <w:t>SCA/SAST: Dependency‑Check + Semgrep (repo URL → results)</w:t>
      </w:r>
    </w:p>
    <w:p>
      <w:pPr>
        <w:pStyle w:val="ListBullet"/>
      </w:pPr>
      <w:r>
        <w:t>IaC: Checkov + Trivy Config</w:t>
      </w:r>
    </w:p>
    <w:p>
      <w:pPr>
        <w:pStyle w:val="ListBullet"/>
      </w:pPr>
      <w:r>
        <w:t>CI/CD: TruffleHog + Semgrep rules for pipelines</w:t>
      </w:r>
    </w:p>
    <w:p>
      <w:pPr>
        <w:pStyle w:val="ListBullet"/>
      </w:pPr>
      <w:r>
        <w:t>Integrations: GitHub/GitLab + Jira, basic Slack</w:t>
      </w:r>
    </w:p>
    <w:p>
      <w:pPr>
        <w:pStyle w:val="ListBullet"/>
      </w:pPr>
      <w:r>
        <w:t>Risk scoring v1 + triage workflow; CSV/PDF exports</w:t>
      </w:r>
    </w:p>
    <w:p>
      <w:r>
        <w:t>Phase 2:</w:t>
      </w:r>
    </w:p>
    <w:p>
      <w:pPr>
        <w:pStyle w:val="ListBullet"/>
      </w:pPr>
      <w:r>
        <w:t>SBOM (Syft) + Image scanning (Trivy/Grype), registry hooks</w:t>
      </w:r>
    </w:p>
    <w:p>
      <w:pPr>
        <w:pStyle w:val="ListBullet"/>
      </w:pPr>
      <w:r>
        <w:t>Policy‑as‑Code packs + exemption workflow with expiry</w:t>
      </w:r>
    </w:p>
    <w:p>
      <w:pPr>
        <w:pStyle w:val="ListBullet"/>
      </w:pPr>
      <w:r>
        <w:t>Asset graph + basic attack‑path views</w:t>
      </w:r>
    </w:p>
    <w:p>
      <w:pPr>
        <w:pStyle w:val="ListBullet"/>
      </w:pPr>
      <w:r>
        <w:t>VEX/KEV exploitability flags</w:t>
      </w:r>
    </w:p>
    <w:p>
      <w:r>
        <w:t>Phase 3:</w:t>
      </w:r>
    </w:p>
    <w:p>
      <w:pPr>
        <w:pStyle w:val="ListBullet"/>
      </w:pPr>
      <w:r>
        <w:t>CSPM/KSPM (cloud API pulls, kube‑bench, Polaris) + drift detection</w:t>
      </w:r>
    </w:p>
    <w:p>
      <w:pPr>
        <w:pStyle w:val="ListBullet"/>
      </w:pPr>
      <w:r>
        <w:t>Admission control (Gatekeeper/Kyverno) + PR autofix for IaC</w:t>
      </w:r>
    </w:p>
    <w:p>
      <w:pPr>
        <w:pStyle w:val="ListBullet"/>
      </w:pPr>
      <w:r>
        <w:t>Provenance/signing (in‑toto, cosign), SLSA‑aligned builds</w:t>
      </w:r>
    </w:p>
    <w:p>
      <w:r>
        <w:t>Phase 4 (optional/advanced):</w:t>
      </w:r>
    </w:p>
    <w:p>
      <w:pPr>
        <w:pStyle w:val="ListBullet"/>
      </w:pPr>
      <w:r>
        <w:t>DAST (ZAP) and API security linting</w:t>
      </w:r>
    </w:p>
    <w:p>
      <w:pPr>
        <w:pStyle w:val="ListBullet"/>
      </w:pPr>
      <w:r>
        <w:t>Falco runtime detections; SOAR webhooks</w:t>
      </w:r>
    </w:p>
    <w:p>
      <w:pPr>
        <w:pStyle w:val="ListBullet"/>
      </w:pPr>
      <w:r>
        <w:t>ML‑assisted dedup/triage &amp; fix ranking</w:t>
      </w:r>
    </w:p>
    <w:p>
      <w:pPr>
        <w:pStyle w:val="Heading1"/>
      </w:pPr>
      <w:r>
        <w:t>11. Acceptance Criteria (Samples)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Acceptance Criteria</w:t>
            </w:r>
          </w:p>
        </w:tc>
        <w:tc>
          <w:tcPr>
            <w:tcW w:type="dxa" w:w="2880"/>
          </w:tcPr>
          <w:p>
            <w:r>
              <w:t>Evidence</w:t>
            </w:r>
          </w:p>
        </w:tc>
      </w:tr>
      <w:tr>
        <w:tc>
          <w:tcPr>
            <w:tcW w:type="dxa" w:w="2880"/>
          </w:tcPr>
          <w:p>
            <w:r>
              <w:t>Repo Scan (SAST/SCA)</w:t>
            </w:r>
          </w:p>
        </w:tc>
        <w:tc>
          <w:tcPr>
            <w:tcW w:type="dxa" w:w="2880"/>
          </w:tcPr>
          <w:p>
            <w:r>
              <w:t>Given a public repo URL, when a scan is triggered, then results appear under the project with severity, file/line, and remediation; duplicate findings are deduped across commits.</w:t>
            </w:r>
          </w:p>
        </w:tc>
        <w:tc>
          <w:tcPr>
            <w:tcW w:type="dxa" w:w="2880"/>
          </w:tcPr>
          <w:p>
            <w:r>
              <w:t>UI screenshot; normalized records; raw report in object store</w:t>
            </w:r>
          </w:p>
        </w:tc>
      </w:tr>
      <w:tr>
        <w:tc>
          <w:tcPr>
            <w:tcW w:type="dxa" w:w="2880"/>
          </w:tcPr>
          <w:p>
            <w:r>
              <w:t>IaC Scan</w:t>
            </w:r>
          </w:p>
        </w:tc>
        <w:tc>
          <w:tcPr>
            <w:tcW w:type="dxa" w:w="2880"/>
          </w:tcPr>
          <w:p>
            <w:r>
              <w:t>Given a Terraform/K8s directory, policy violations are listed with rule IDs and suggested fixes; a PR autofix can be generated for simple misconfigurations.</w:t>
            </w:r>
          </w:p>
        </w:tc>
        <w:tc>
          <w:tcPr>
            <w:tcW w:type="dxa" w:w="2880"/>
          </w:tcPr>
          <w:p>
            <w:r>
              <w:t>PR with patch; policy evaluation logs</w:t>
            </w:r>
          </w:p>
        </w:tc>
      </w:tr>
      <w:tr>
        <w:tc>
          <w:tcPr>
            <w:tcW w:type="dxa" w:w="2880"/>
          </w:tcPr>
          <w:p>
            <w:r>
              <w:t>Risk Scoring</w:t>
            </w:r>
          </w:p>
        </w:tc>
        <w:tc>
          <w:tcPr>
            <w:tcW w:type="dxa" w:w="2880"/>
          </w:tcPr>
          <w:p>
            <w:r>
              <w:t>Critical items reflect exploitability and exposure (internet‑facing) and sort to the top; changing asset exposure updates priority.</w:t>
            </w:r>
          </w:p>
        </w:tc>
        <w:tc>
          <w:tcPr>
            <w:tcW w:type="dxa" w:w="2880"/>
          </w:tcPr>
          <w:p>
            <w:r>
              <w:t>Before/after score snapshot; graph path showing exposure</w:t>
            </w:r>
          </w:p>
        </w:tc>
      </w:tr>
      <w:tr>
        <w:tc>
          <w:tcPr>
            <w:tcW w:type="dxa" w:w="2880"/>
          </w:tcPr>
          <w:p>
            <w:r>
              <w:t>SSO &amp; RBAC</w:t>
            </w:r>
          </w:p>
        </w:tc>
        <w:tc>
          <w:tcPr>
            <w:tcW w:type="dxa" w:w="2880"/>
          </w:tcPr>
          <w:p>
            <w:r>
              <w:t>SSO login works; users see only their tenant/projects; roles enforce least privilege.</w:t>
            </w:r>
          </w:p>
        </w:tc>
        <w:tc>
          <w:tcPr>
            <w:tcW w:type="dxa" w:w="2880"/>
          </w:tcPr>
          <w:p>
            <w:r>
              <w:t>SSO test log; role matrix; access tests</w:t>
            </w:r>
          </w:p>
        </w:tc>
      </w:tr>
    </w:tbl>
    <w:p>
      <w:pPr>
        <w:pStyle w:val="Heading1"/>
      </w:pPr>
      <w:r>
        <w:t>12. Sequence Flows</w:t>
      </w:r>
    </w:p>
    <w:p>
      <w:r>
        <w:t>12.1 Repo Scan Flow</w:t>
      </w:r>
    </w:p>
    <w:p>
      <w:pPr>
        <w:pStyle w:val="ListNumber"/>
      </w:pPr>
      <w:r>
        <w:t>User submits repo URL and selects scanners.</w:t>
      </w:r>
    </w:p>
    <w:p>
      <w:pPr>
        <w:pStyle w:val="ListNumber"/>
      </w:pPr>
      <w:r>
        <w:t>Engine creates a job with content hash; enqueues to Queue.</w:t>
      </w:r>
    </w:p>
    <w:p>
      <w:pPr>
        <w:pStyle w:val="ListNumber"/>
      </w:pPr>
      <w:r>
        <w:t>Worker checks cache; clones repo if needed; runs Semgrep/Dependency‑Check.</w:t>
      </w:r>
    </w:p>
    <w:p>
      <w:pPr>
        <w:pStyle w:val="ListNumber"/>
      </w:pPr>
      <w:r>
        <w:t>Raw artifacts → Object store; parsed findings → PostgreSQL; relations updated.</w:t>
      </w:r>
    </w:p>
    <w:p>
      <w:pPr>
        <w:pStyle w:val="ListNumber"/>
      </w:pPr>
      <w:r>
        <w:t>Risk score computed; tickets/notifications emitted; dashboard updated.</w:t>
      </w:r>
    </w:p>
    <w:p>
      <w:r>
        <w:t>12.2 Cloud/K8s Posture Flow</w:t>
      </w:r>
    </w:p>
    <w:p>
      <w:pPr>
        <w:pStyle w:val="ListNumber"/>
      </w:pPr>
      <w:r>
        <w:t>Connector assumes read‑only role; pulls cloud/K8s configs.</w:t>
      </w:r>
    </w:p>
    <w:p>
      <w:pPr>
        <w:pStyle w:val="ListNumber"/>
      </w:pPr>
      <w:r>
        <w:t>Policies evaluated (OPA/Rego, Checkov, kube‑bench/Polaris).</w:t>
      </w:r>
    </w:p>
    <w:p>
      <w:pPr>
        <w:pStyle w:val="ListNumber"/>
      </w:pPr>
      <w:r>
        <w:t>Findings normalized and linked to assets; drift vs. IaC computed.</w:t>
      </w:r>
    </w:p>
    <w:p>
      <w:pPr>
        <w:pStyle w:val="ListNumber"/>
      </w:pPr>
      <w:r>
        <w:t>Optional PRs generated for IaC fixes; posture score updated.</w:t>
      </w:r>
    </w:p>
    <w:p>
      <w:pPr>
        <w:pStyle w:val="ListNumber"/>
      </w:pPr>
      <w:r>
        <w:t>Evidence exported for compliance where applicable.</w:t>
      </w:r>
    </w:p>
    <w:p>
      <w:pPr>
        <w:pStyle w:val="Heading1"/>
      </w:pPr>
      <w:r>
        <w:t>13. Platform Security</w:t>
      </w:r>
    </w:p>
    <w:p>
      <w:r>
        <w:t>Tenant isolation (schema/RLS), KMS‑backed encryption, key rotation; hardened images; signed releases; backups/DR; rate limiting and anomaly detection; privacy controls and data retention.</w:t>
      </w:r>
    </w:p>
    <w:p>
      <w:pPr>
        <w:pStyle w:val="Heading1"/>
      </w:pPr>
      <w:r>
        <w:t>14. Open‑Source Tooling Map</w:t>
      </w:r>
    </w:p>
    <w:p>
      <w:pPr>
        <w:pStyle w:val="ListBullet"/>
      </w:pPr>
      <w:r>
        <w:t>SAST/SCA: Semgrep, SpotBugs, OWASP Dependency‑Check</w:t>
      </w:r>
    </w:p>
    <w:p>
      <w:pPr>
        <w:pStyle w:val="ListBullet"/>
      </w:pPr>
      <w:r>
        <w:t>IaC: Checkov, Trivy (config)</w:t>
      </w:r>
    </w:p>
    <w:p>
      <w:pPr>
        <w:pStyle w:val="ListBullet"/>
      </w:pPr>
      <w:r>
        <w:t>Containers: Syft/Grype, Trivy (images)</w:t>
      </w:r>
    </w:p>
    <w:p>
      <w:pPr>
        <w:pStyle w:val="ListBullet"/>
      </w:pPr>
      <w:r>
        <w:t>K8s: kube‑bench, Polaris/kube‑score, Gatekeeper/Kyverno</w:t>
      </w:r>
    </w:p>
    <w:p>
      <w:pPr>
        <w:pStyle w:val="ListBullet"/>
      </w:pPr>
      <w:r>
        <w:t>Runtime: Falco</w:t>
      </w:r>
    </w:p>
    <w:p>
      <w:pPr>
        <w:pStyle w:val="ListBullet"/>
      </w:pPr>
      <w:r>
        <w:t>Supply chain: in‑toto, cosign, SBOM via Syft</w:t>
      </w:r>
    </w:p>
    <w:p>
      <w:pPr>
        <w:pStyle w:val="ListBullet"/>
      </w:pPr>
      <w:r>
        <w:t>Secrets: TruffleHog, gitleaks</w:t>
      </w:r>
    </w:p>
    <w:p>
      <w:pPr>
        <w:pStyle w:val="ListBullet"/>
      </w:pPr>
      <w:r>
        <w:t>Policy: OPA/Rego</w:t>
      </w:r>
    </w:p>
    <w:p>
      <w:r>
        <w:br w:type="page"/>
      </w:r>
    </w:p>
    <w:p>
      <w:pPr>
        <w:pStyle w:val="Heading1"/>
      </w:pPr>
      <w:r>
        <w:t>Appendix: Visual Diagrams</w:t>
      </w:r>
    </w:p>
    <w:p>
      <w:pPr>
        <w:pStyle w:val="Heading2"/>
      </w:pPr>
      <w:r>
        <w:t>A1. Repo Scan Sequence Diagram</w:t>
      </w:r>
    </w:p>
    <w:p>
      <w:r>
        <w:drawing>
          <wp:inline xmlns:a="http://schemas.openxmlformats.org/drawingml/2006/main" xmlns:pic="http://schemas.openxmlformats.org/drawingml/2006/picture">
            <wp:extent cx="5486400" cy="47083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Repo_Sc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8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A2. Cloud/K8s Scan Sequence Diagram</w:t>
      </w:r>
    </w:p>
    <w:p>
      <w:r>
        <w:drawing>
          <wp:inline xmlns:a="http://schemas.openxmlformats.org/drawingml/2006/main" xmlns:pic="http://schemas.openxmlformats.org/drawingml/2006/picture">
            <wp:extent cx="5486400" cy="47778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_Cloud_Sc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A3. Example Attack Path Graph</w:t>
      </w:r>
    </w:p>
    <w:p>
      <w:r>
        <w:drawing>
          <wp:inline xmlns:a="http://schemas.openxmlformats.org/drawingml/2006/main" xmlns:pic="http://schemas.openxmlformats.org/drawingml/2006/picture">
            <wp:extent cx="5029200" cy="439192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ttack_Pat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919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dy">
    <w:name w:val="Body"/>
    <w:rPr>
      <w:rFonts w:ascii="Calibri" w:hAnsi="Calibri" w:eastAsia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