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Time‑Aware &amp; Quiet‑Hours Messaging — UI Specification</w:t>
      </w:r>
    </w:p>
    <w:p>
      <w:pPr>
        <w:jc w:val="left"/>
      </w:pPr>
      <w:r>
        <w:t>Date: 2025-08-22 | Author: Naveen G. | Version: UI Spec v1 (Clean &amp; Accessible)</w:t>
      </w:r>
    </w:p>
    <w:p>
      <w:pPr>
        <w:pStyle w:val="Heading2"/>
      </w:pPr>
      <w:r>
        <w:t>1. Overview</w:t>
      </w:r>
    </w:p>
    <w:p>
      <w:r>
        <w:t>This spec defines a compact, WhatsApp-consistent UI for time‑aware messaging. It replaces persistent option buttons with a compact schedule chip and a “Send+” button containing a chevron that opens a bottom sheet with large tap targets. The design minimizes visual footprint while maintaining accessibility for older and low‑dexterity users.</w:t>
      </w:r>
    </w:p>
    <w:p>
      <w:pPr>
        <w:pStyle w:val="Heading2"/>
      </w:pPr>
      <w:r>
        <w:t>2. Components &amp; Patterns</w:t>
      </w:r>
    </w:p>
    <w:p>
      <w:r>
        <w:t>2.1 Composer components: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Schedule chip</w:t>
            </w:r>
          </w:p>
        </w:tc>
        <w:tc>
          <w:tcPr>
            <w:tcW w:type="dxa" w:w="2880"/>
          </w:tcPr>
          <w:p>
            <w:r>
              <w:t>Composer (left, inline)</w:t>
            </w:r>
          </w:p>
        </w:tc>
        <w:tc>
          <w:tcPr>
            <w:tcW w:type="dxa" w:w="2880"/>
          </w:tcPr>
          <w:p>
            <w:r>
              <w:t>Shows scheduled delivery time when active; tap to edit/remove scheduling.</w:t>
            </w:r>
          </w:p>
        </w:tc>
      </w:tr>
      <w:tr>
        <w:tc>
          <w:tcPr>
            <w:tcW w:type="dxa" w:w="2880"/>
          </w:tcPr>
          <w:p>
            <w:r>
              <w:t>Message field</w:t>
            </w:r>
          </w:p>
        </w:tc>
        <w:tc>
          <w:tcPr>
            <w:tcW w:type="dxa" w:w="2880"/>
          </w:tcPr>
          <w:p>
            <w:r>
              <w:t>Composer (center)</w:t>
            </w:r>
          </w:p>
        </w:tc>
        <w:tc>
          <w:tcPr>
            <w:tcW w:type="dxa" w:w="2880"/>
          </w:tcPr>
          <w:p>
            <w:r>
              <w:t>Primary text input; unchanged from WhatsApp baseline.</w:t>
            </w:r>
          </w:p>
        </w:tc>
      </w:tr>
      <w:tr>
        <w:tc>
          <w:tcPr>
            <w:tcW w:type="dxa" w:w="2880"/>
          </w:tcPr>
          <w:p>
            <w:r>
              <w:t>Send+ (chevron)</w:t>
            </w:r>
          </w:p>
        </w:tc>
        <w:tc>
          <w:tcPr>
            <w:tcW w:type="dxa" w:w="2880"/>
          </w:tcPr>
          <w:p>
            <w:r>
              <w:t>Composer (right)</w:t>
            </w:r>
          </w:p>
        </w:tc>
        <w:tc>
          <w:tcPr>
            <w:tcW w:type="dxa" w:w="2880"/>
          </w:tcPr>
          <w:p>
            <w:r>
              <w:t>Primary send action; chevron opens bottom sheet of options.</w:t>
            </w:r>
          </w:p>
        </w:tc>
      </w:tr>
    </w:tbl>
    <w:p>
      <w:r>
        <w:t>2.2 Bottom sheet (“Send options”):</w:t>
      </w:r>
    </w:p>
    <w:p>
      <w:r>
        <w:t>• Rows (≥56dp) with Title + Subtitle; right caret for affordance.</w:t>
      </w:r>
    </w:p>
    <w:p>
      <w:r>
        <w:t>• Options: Send now · Respect Quiet Hours · Urgent (request higher priority; OS/recipient control applies).</w:t>
      </w:r>
    </w:p>
    <w:p>
      <w:pPr>
        <w:pStyle w:val="Heading2"/>
      </w:pPr>
      <w:r>
        <w:t>3. Accessibility &amp; Sizing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Element</w:t>
            </w:r>
          </w:p>
        </w:tc>
        <w:tc>
          <w:tcPr>
            <w:tcW w:type="dxa" w:w="2160"/>
          </w:tcPr>
          <w:p>
            <w:r>
              <w:t>Min target (Android)</w:t>
            </w:r>
          </w:p>
        </w:tc>
        <w:tc>
          <w:tcPr>
            <w:tcW w:type="dxa" w:w="2160"/>
          </w:tcPr>
          <w:p>
            <w:r>
              <w:t>Min target (iOS)</w:t>
            </w:r>
          </w:p>
        </w:tc>
        <w:tc>
          <w:tcPr>
            <w:tcW w:type="dxa" w:w="2160"/>
          </w:tcPr>
          <w:p>
            <w:r>
              <w:t>Typography</w:t>
            </w:r>
          </w:p>
        </w:tc>
      </w:tr>
      <w:tr>
        <w:tc>
          <w:tcPr>
            <w:tcW w:type="dxa" w:w="2160"/>
          </w:tcPr>
          <w:p>
            <w:r>
              <w:t>Send main tap area</w:t>
            </w:r>
          </w:p>
        </w:tc>
        <w:tc>
          <w:tcPr>
            <w:tcW w:type="dxa" w:w="2160"/>
          </w:tcPr>
          <w:p>
            <w:r>
              <w:t>≥48dp</w:t>
            </w:r>
          </w:p>
        </w:tc>
        <w:tc>
          <w:tcPr>
            <w:tcW w:type="dxa" w:w="2160"/>
          </w:tcPr>
          <w:p>
            <w:r>
              <w:t>≥44pt</w:t>
            </w:r>
          </w:p>
        </w:tc>
        <w:tc>
          <w:tcPr>
            <w:tcW w:type="dxa" w:w="2160"/>
          </w:tcPr>
          <w:p>
            <w:r>
              <w:t>Label 14–16sp/pt, bold</w:t>
            </w:r>
          </w:p>
        </w:tc>
      </w:tr>
      <w:tr>
        <w:tc>
          <w:tcPr>
            <w:tcW w:type="dxa" w:w="2160"/>
          </w:tcPr>
          <w:p>
            <w:r>
              <w:t>Send chevron tap</w:t>
            </w:r>
          </w:p>
        </w:tc>
        <w:tc>
          <w:tcPr>
            <w:tcW w:type="dxa" w:w="2160"/>
          </w:tcPr>
          <w:p>
            <w:r>
              <w:t>≥48dp</w:t>
            </w:r>
          </w:p>
        </w:tc>
        <w:tc>
          <w:tcPr>
            <w:tcW w:type="dxa" w:w="2160"/>
          </w:tcPr>
          <w:p>
            <w:r>
              <w:t>≥44pt</w:t>
            </w:r>
          </w:p>
        </w:tc>
        <w:tc>
          <w:tcPr>
            <w:tcW w:type="dxa" w:w="2160"/>
          </w:tcPr>
          <w:p>
            <w:r>
              <w:t>Icon size ≥14pt</w:t>
            </w:r>
          </w:p>
        </w:tc>
      </w:tr>
      <w:tr>
        <w:tc>
          <w:tcPr>
            <w:tcW w:type="dxa" w:w="2160"/>
          </w:tcPr>
          <w:p>
            <w:r>
              <w:t>Schedule chip</w:t>
            </w:r>
          </w:p>
        </w:tc>
        <w:tc>
          <w:tcPr>
            <w:tcW w:type="dxa" w:w="2160"/>
          </w:tcPr>
          <w:p>
            <w:r>
              <w:t>≥44dp</w:t>
            </w:r>
          </w:p>
        </w:tc>
        <w:tc>
          <w:tcPr>
            <w:tcW w:type="dxa" w:w="2160"/>
          </w:tcPr>
          <w:p>
            <w:r>
              <w:t>≥44pt</w:t>
            </w:r>
          </w:p>
        </w:tc>
        <w:tc>
          <w:tcPr>
            <w:tcW w:type="dxa" w:w="2160"/>
          </w:tcPr>
          <w:p>
            <w:r>
              <w:t>Body 13–14sp/pt</w:t>
            </w:r>
          </w:p>
        </w:tc>
      </w:tr>
      <w:tr>
        <w:tc>
          <w:tcPr>
            <w:tcW w:type="dxa" w:w="2160"/>
          </w:tcPr>
          <w:p>
            <w:r>
              <w:t>Bottom sheet rows</w:t>
            </w:r>
          </w:p>
        </w:tc>
        <w:tc>
          <w:tcPr>
            <w:tcW w:type="dxa" w:w="2160"/>
          </w:tcPr>
          <w:p>
            <w:r>
              <w:t>≥56dp height</w:t>
            </w:r>
          </w:p>
        </w:tc>
        <w:tc>
          <w:tcPr>
            <w:tcW w:type="dxa" w:w="2160"/>
          </w:tcPr>
          <w:p>
            <w:r>
              <w:t>≥56pt height</w:t>
            </w:r>
          </w:p>
        </w:tc>
        <w:tc>
          <w:tcPr>
            <w:tcW w:type="dxa" w:w="2160"/>
          </w:tcPr>
          <w:p>
            <w:r>
              <w:t>Title 15–17, Subtitle 12–13 dimmed</w:t>
            </w:r>
          </w:p>
        </w:tc>
      </w:tr>
    </w:tbl>
    <w:p>
      <w:r>
        <w:t>Notes: Support Dynamic Type/Font scaling; maintain contrast ≥ 4.5:1 for body text. Provide VoiceOver/TalkBack labels and hints.</w:t>
      </w:r>
    </w:p>
    <w:p>
      <w:pPr>
        <w:pStyle w:val="Heading2"/>
      </w:pPr>
      <w:r>
        <w:t>4. Interactions &amp; States</w:t>
      </w:r>
    </w:p>
    <w:p>
      <w:r>
        <w:t>4.1 Schedule chip states:</w:t>
      </w:r>
    </w:p>
    <w:p>
      <w:r>
        <w:t>• Hidden — Default when no scheduling is active.</w:t>
      </w:r>
    </w:p>
    <w:p>
      <w:r>
        <w:t>• Visible/Active — Shows “Deliver 7:00 am” (recipient’s local time). Tap to open scheduling control (edit/remove).</w:t>
      </w:r>
    </w:p>
    <w:p>
      <w:r>
        <w:t>• Error — If scheduling fails (e.g., out of window), show brief toast and revert to “Send now.”</w:t>
      </w:r>
    </w:p>
    <w:p>
      <w:r>
        <w:t>4.2 Send+ with chevron:</w:t>
      </w:r>
    </w:p>
    <w:p>
      <w:r>
        <w:t>• Tap “Send” — Sends immediately using current mode. If within recipient Quiet Hours and “Respect Quiet Hours” is selected, queue with not_before timestamp.</w:t>
      </w:r>
    </w:p>
    <w:p>
      <w:r>
        <w:t>• Tap chevron — Opens bottom sheet “Send options.” Persist last choice per contact.</w:t>
      </w:r>
    </w:p>
    <w:p>
      <w:r>
        <w:t>4.3 Bottom sheet options &amp; copy: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Title copy</w:t>
            </w:r>
          </w:p>
        </w:tc>
        <w:tc>
          <w:tcPr>
            <w:tcW w:type="dxa" w:w="2880"/>
          </w:tcPr>
          <w:p>
            <w:r>
              <w:t>Subtitle copy</w:t>
            </w:r>
          </w:p>
        </w:tc>
      </w:tr>
      <w:tr>
        <w:tc>
          <w:tcPr>
            <w:tcW w:type="dxa" w:w="2880"/>
          </w:tcPr>
          <w:p>
            <w:r>
              <w:t>Send now</w:t>
            </w:r>
          </w:p>
        </w:tc>
        <w:tc>
          <w:tcPr>
            <w:tcW w:type="dxa" w:w="2880"/>
          </w:tcPr>
          <w:p>
            <w:r>
              <w:t>Send now</w:t>
            </w:r>
          </w:p>
        </w:tc>
        <w:tc>
          <w:tcPr>
            <w:tcW w:type="dxa" w:w="2880"/>
          </w:tcPr>
          <w:p>
            <w:r>
              <w:t>Deliver immediately</w:t>
            </w:r>
          </w:p>
        </w:tc>
      </w:tr>
      <w:tr>
        <w:tc>
          <w:tcPr>
            <w:tcW w:type="dxa" w:w="2880"/>
          </w:tcPr>
          <w:p>
            <w:r>
              <w:t>Respect Quiet Hours</w:t>
            </w:r>
          </w:p>
        </w:tc>
        <w:tc>
          <w:tcPr>
            <w:tcW w:type="dxa" w:w="2880"/>
          </w:tcPr>
          <w:p>
            <w:r>
              <w:t>Respect Quiet Hours</w:t>
            </w:r>
          </w:p>
        </w:tc>
        <w:tc>
          <w:tcPr>
            <w:tcW w:type="dxa" w:w="2880"/>
          </w:tcPr>
          <w:p>
            <w:r>
              <w:t>Deliver at 7:00 am their time (recommended)</w:t>
            </w:r>
          </w:p>
        </w:tc>
      </w:tr>
      <w:tr>
        <w:tc>
          <w:tcPr>
            <w:tcW w:type="dxa" w:w="2880"/>
          </w:tcPr>
          <w:p>
            <w:r>
              <w:t>Urgent</w:t>
            </w:r>
          </w:p>
        </w:tc>
        <w:tc>
          <w:tcPr>
            <w:tcW w:type="dxa" w:w="2880"/>
          </w:tcPr>
          <w:p>
            <w:r>
              <w:t>Urgent</w:t>
            </w:r>
          </w:p>
        </w:tc>
        <w:tc>
          <w:tcPr>
            <w:tcW w:type="dxa" w:w="2880"/>
          </w:tcPr>
          <w:p>
            <w:r>
              <w:t>Request higher priority; recipient controls whether it breaks through</w:t>
            </w:r>
          </w:p>
        </w:tc>
      </w:tr>
    </w:tbl>
    <w:p>
      <w:r>
        <w:t>Helper text (composer, first 2–3 uses): “Respecting Alex’s Quiet Hours. Tap ⌄ for options.”</w:t>
      </w:r>
    </w:p>
    <w:p>
      <w:pPr>
        <w:pStyle w:val="Heading2"/>
      </w:pPr>
      <w:r>
        <w:t>5. Privacy UX Hooks</w:t>
      </w:r>
    </w:p>
    <w:p>
      <w:r>
        <w:t>• Timezone is recipient‑shared and can be turned off in Privacy. Show a small clock badge on profile when enabled.</w:t>
      </w:r>
    </w:p>
    <w:p>
      <w:r>
        <w:t>• Do not reveal exact Quiet Hours; only show computed delivery time.</w:t>
      </w:r>
    </w:p>
    <w:p>
      <w:r>
        <w:t>• Allow recipients to mute/downgrade “Urgent” from the chat info sheet.</w:t>
      </w:r>
    </w:p>
    <w:p>
      <w:pPr>
        <w:pStyle w:val="Heading2"/>
      </w:pPr>
      <w:r>
        <w:t>6. Edge Cases &amp; Empty States</w:t>
      </w:r>
    </w:p>
    <w:p>
      <w:r>
        <w:t>• Unknown timezone: hide chip; first send in off‑hours shows prompt: “Ask to share timezone?” (optional, respectful).</w:t>
      </w:r>
    </w:p>
    <w:p>
      <w:r>
        <w:t>• Travel/timezone change: if recipient timezone changes, recompute delivery time silently; chip updates on open.</w:t>
      </w:r>
    </w:p>
    <w:p>
      <w:r>
        <w:t>• Conversation window constraints (Business): if message cannot be sent later, surface non‑blocking notice and default to “Send now.”</w:t>
      </w:r>
    </w:p>
    <w:p>
      <w:r>
        <w:t>• Undo scheduled: snackbar “Scheduled for 7:00 am — UNDO” for 5s.</w:t>
      </w:r>
    </w:p>
    <w:p>
      <w:pPr>
        <w:pStyle w:val="Heading2"/>
      </w:pPr>
      <w:r>
        <w:t>7. Metrics &amp; Telemetry (non‑content, privacy‑safe)</w:t>
      </w:r>
    </w:p>
    <w:p>
      <w:r>
        <w:t>• Count of sends during 22:00–07:00 local (pre/post).</w:t>
      </w:r>
    </w:p>
    <w:p>
      <w:r>
        <w:t>• Option selection rates (Send now / Respect Quiet Hours / Urgent).</w:t>
      </w:r>
    </w:p>
    <w:p>
      <w:r>
        <w:t>• Scheduled → Sent conversion (drop from user edits/cancellations).</w:t>
      </w:r>
    </w:p>
    <w:p>
      <w:pPr>
        <w:pStyle w:val="Heading2"/>
      </w:pPr>
      <w:r>
        <w:t>8. Visual References</w:t>
      </w:r>
    </w:p>
    <w:p>
      <w:r>
        <w:t>Composer — “Send+” with chevron &amp; compact schedule chip</w:t>
      </w:r>
    </w:p>
    <w:p>
      <w:r>
        <w:drawing>
          <wp:inline xmlns:a="http://schemas.openxmlformats.org/drawingml/2006/main" xmlns:pic="http://schemas.openxmlformats.org/drawingml/2006/picture">
            <wp:extent cx="5303520" cy="55379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ean_Composer_SendPl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37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Bottom sheet — Large‑tap “Send options”</w:t>
      </w:r>
    </w:p>
    <w:p>
      <w:r>
        <w:drawing>
          <wp:inline xmlns:a="http://schemas.openxmlformats.org/drawingml/2006/main" xmlns:pic="http://schemas.openxmlformats.org/drawingml/2006/picture">
            <wp:extent cx="5303520" cy="54143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ttom_Sheet_Send_Op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1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9. Deliverables</w:t>
      </w:r>
    </w:p>
    <w:p>
      <w:r>
        <w:t>• UI Spec (this document)</w:t>
      </w:r>
    </w:p>
    <w:p>
      <w:r>
        <w:t>• Clean PRD (previous attachment)</w:t>
      </w:r>
    </w:p>
    <w:p>
      <w:r>
        <w:t>• UI mocks (PNG + PDF)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