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204" w:rsidRPr="007F76D9" w:rsidRDefault="00D537FA">
      <w:pPr>
        <w:rPr>
          <w:rFonts w:ascii="Times New Roman" w:hAnsi="Times New Roman" w:cs="Times New Roman"/>
          <w:b/>
          <w:sz w:val="24"/>
          <w:szCs w:val="24"/>
        </w:rPr>
      </w:pPr>
      <w:r w:rsidRPr="00784B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7F76D9">
        <w:rPr>
          <w:rFonts w:ascii="Times New Roman" w:hAnsi="Times New Roman" w:cs="Times New Roman"/>
          <w:b/>
          <w:sz w:val="24"/>
          <w:szCs w:val="24"/>
        </w:rPr>
        <w:t xml:space="preserve">Fasting Blood Sugar Report 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D537FA" w:rsidRPr="00784B2F" w:rsidTr="00D537FA">
        <w:tc>
          <w:tcPr>
            <w:tcW w:w="9243" w:type="dxa"/>
          </w:tcPr>
          <w:p w:rsidR="00D537FA" w:rsidRPr="00784B2F" w:rsidRDefault="00D53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Name           : </w:t>
            </w:r>
          </w:p>
          <w:p w:rsidR="00D537FA" w:rsidRPr="00784B2F" w:rsidRDefault="00D53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Age              : </w:t>
            </w:r>
          </w:p>
          <w:p w:rsidR="00D537FA" w:rsidRPr="00784B2F" w:rsidRDefault="00D53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>Gender         :</w:t>
            </w:r>
          </w:p>
          <w:p w:rsidR="00D537FA" w:rsidRPr="00784B2F" w:rsidRDefault="00D53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Referred by </w:t>
            </w:r>
            <w:r w:rsidR="007F76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537FA" w:rsidRPr="00784B2F" w:rsidRDefault="00D53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4B2F"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 no          :</w:t>
            </w:r>
          </w:p>
        </w:tc>
      </w:tr>
    </w:tbl>
    <w:p w:rsidR="00D537FA" w:rsidRPr="00784B2F" w:rsidRDefault="00D537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784B2F" w:rsidRPr="00784B2F" w:rsidTr="00784B2F">
        <w:tc>
          <w:tcPr>
            <w:tcW w:w="9243" w:type="dxa"/>
          </w:tcPr>
          <w:p w:rsidR="00784B2F" w:rsidRPr="00784B2F" w:rsidRDefault="00784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Test                                                 Value       </w:t>
            </w:r>
            <w:r w:rsidR="007F76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Unit                   </w:t>
            </w:r>
            <w:r w:rsidR="007F76D9">
              <w:rPr>
                <w:rFonts w:ascii="Times New Roman" w:hAnsi="Times New Roman" w:cs="Times New Roman"/>
                <w:sz w:val="24"/>
                <w:szCs w:val="24"/>
              </w:rPr>
              <w:t xml:space="preserve">    Reference</w:t>
            </w: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  <w:tr w:rsidR="00784B2F" w:rsidRPr="00784B2F" w:rsidTr="00784B2F">
        <w:tc>
          <w:tcPr>
            <w:tcW w:w="9243" w:type="dxa"/>
          </w:tcPr>
          <w:p w:rsidR="00784B2F" w:rsidRPr="00784B2F" w:rsidRDefault="00784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Fasting Blood Sugar                                 </w:t>
            </w:r>
            <w:r w:rsidR="007F76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>mg/d</w:t>
            </w:r>
            <w:r w:rsidR="007F76D9">
              <w:rPr>
                <w:rFonts w:ascii="Times New Roman" w:hAnsi="Times New Roman" w:cs="Times New Roman"/>
                <w:sz w:val="24"/>
                <w:szCs w:val="24"/>
              </w:rPr>
              <w:t xml:space="preserve">l                      </w:t>
            </w: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>70 - 100</w:t>
            </w:r>
          </w:p>
          <w:p w:rsidR="00784B2F" w:rsidRPr="00784B2F" w:rsidRDefault="00784B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4B2F" w:rsidRPr="00784B2F" w:rsidRDefault="00784B2F">
      <w:pPr>
        <w:rPr>
          <w:rFonts w:ascii="Times New Roman" w:hAnsi="Times New Roman" w:cs="Times New Roman"/>
          <w:sz w:val="24"/>
          <w:szCs w:val="24"/>
        </w:rPr>
      </w:pPr>
    </w:p>
    <w:p w:rsidR="00784B2F" w:rsidRPr="00784B2F" w:rsidRDefault="00784B2F" w:rsidP="00784B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after="96" w:line="240" w:lineRule="auto"/>
        <w:rPr>
          <w:rFonts w:ascii="Times New Roman" w:eastAsia="Times New Roman" w:hAnsi="Times New Roman" w:cs="Times New Roman"/>
          <w:color w:val="161C2D"/>
          <w:sz w:val="24"/>
          <w:szCs w:val="24"/>
        </w:rPr>
      </w:pPr>
      <w:r w:rsidRPr="00784B2F">
        <w:rPr>
          <w:rFonts w:ascii="Times New Roman" w:eastAsia="Times New Roman" w:hAnsi="Times New Roman" w:cs="Times New Roman"/>
          <w:b/>
          <w:bCs/>
          <w:color w:val="161C2D"/>
          <w:sz w:val="24"/>
          <w:szCs w:val="24"/>
        </w:rPr>
        <w:t>Clinical Notes</w:t>
      </w:r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br/>
      </w:r>
    </w:p>
    <w:p w:rsidR="00784B2F" w:rsidRPr="00784B2F" w:rsidRDefault="00784B2F" w:rsidP="00784B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after="96" w:line="240" w:lineRule="auto"/>
        <w:rPr>
          <w:rFonts w:ascii="Times New Roman" w:eastAsia="Times New Roman" w:hAnsi="Times New Roman" w:cs="Times New Roman"/>
          <w:color w:val="161C2D"/>
          <w:sz w:val="24"/>
          <w:szCs w:val="24"/>
        </w:rPr>
      </w:pPr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t xml:space="preserve">Elevated glucose levels (hyperglycemia) are most often encountered clinically in the setting of diabetes mellitus, but they may also occur with pancreatic </w:t>
      </w:r>
      <w:proofErr w:type="spellStart"/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t>neoplasms</w:t>
      </w:r>
      <w:proofErr w:type="spellEnd"/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t xml:space="preserve">, hyperthyroidism, and </w:t>
      </w:r>
      <w:proofErr w:type="spellStart"/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t>adrenocortical</w:t>
      </w:r>
      <w:proofErr w:type="spellEnd"/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t xml:space="preserve"> dysfunction. Decreased glucose levels (hypoglycemia) may result from endogenous or exogenous insulin excess, prolonged starvation, or liver disease.</w:t>
      </w:r>
    </w:p>
    <w:tbl>
      <w:tblPr>
        <w:tblW w:w="93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1F5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0"/>
        <w:gridCol w:w="3100"/>
        <w:gridCol w:w="3100"/>
      </w:tblGrid>
      <w:tr w:rsidR="00784B2F" w:rsidRPr="00784B2F" w:rsidTr="00784B2F">
        <w:trPr>
          <w:trHeight w:val="275"/>
        </w:trPr>
        <w:tc>
          <w:tcPr>
            <w:tcW w:w="31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1F5F9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4B2F" w:rsidRPr="00784B2F" w:rsidRDefault="00784B2F" w:rsidP="00784B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61C2D"/>
                <w:sz w:val="24"/>
                <w:szCs w:val="24"/>
              </w:rPr>
            </w:pPr>
            <w:r w:rsidRPr="00784B2F">
              <w:rPr>
                <w:rFonts w:ascii="Times New Roman" w:eastAsia="Times New Roman" w:hAnsi="Times New Roman" w:cs="Times New Roman"/>
                <w:b/>
                <w:color w:val="161C2D"/>
                <w:sz w:val="24"/>
                <w:szCs w:val="24"/>
                <w:bdr w:val="single" w:sz="2" w:space="0" w:color="E5E7EB" w:frame="1"/>
              </w:rPr>
              <w:t>Fasting Glucose</w:t>
            </w:r>
          </w:p>
        </w:tc>
        <w:tc>
          <w:tcPr>
            <w:tcW w:w="31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1F5F9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4B2F" w:rsidRPr="00784B2F" w:rsidRDefault="00784B2F" w:rsidP="00784B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61C2D"/>
                <w:sz w:val="24"/>
                <w:szCs w:val="24"/>
              </w:rPr>
            </w:pPr>
            <w:r w:rsidRPr="00784B2F">
              <w:rPr>
                <w:rFonts w:ascii="Times New Roman" w:eastAsia="Times New Roman" w:hAnsi="Times New Roman" w:cs="Times New Roman"/>
                <w:b/>
                <w:color w:val="161C2D"/>
                <w:sz w:val="24"/>
                <w:szCs w:val="24"/>
                <w:bdr w:val="single" w:sz="2" w:space="0" w:color="E5E7EB" w:frame="1"/>
              </w:rPr>
              <w:t>2 hours PP Glucose</w:t>
            </w:r>
          </w:p>
        </w:tc>
        <w:tc>
          <w:tcPr>
            <w:tcW w:w="31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1F5F9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4B2F" w:rsidRPr="00784B2F" w:rsidRDefault="00784B2F" w:rsidP="00784B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61C2D"/>
                <w:sz w:val="24"/>
                <w:szCs w:val="24"/>
              </w:rPr>
            </w:pPr>
            <w:r w:rsidRPr="00784B2F">
              <w:rPr>
                <w:rFonts w:ascii="Times New Roman" w:eastAsia="Times New Roman" w:hAnsi="Times New Roman" w:cs="Times New Roman"/>
                <w:b/>
                <w:color w:val="161C2D"/>
                <w:sz w:val="24"/>
                <w:szCs w:val="24"/>
                <w:bdr w:val="single" w:sz="2" w:space="0" w:color="E5E7EB" w:frame="1"/>
              </w:rPr>
              <w:t>Diagnosis</w:t>
            </w:r>
          </w:p>
        </w:tc>
      </w:tr>
      <w:tr w:rsidR="00784B2F" w:rsidRPr="00784B2F" w:rsidTr="00784B2F">
        <w:trPr>
          <w:trHeight w:val="275"/>
        </w:trPr>
        <w:tc>
          <w:tcPr>
            <w:tcW w:w="31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1F5F9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4B2F" w:rsidRPr="00784B2F" w:rsidRDefault="00784B2F" w:rsidP="00784B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</w:rPr>
            </w:pPr>
            <w:r w:rsidRPr="00784B2F"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  <w:bdr w:val="single" w:sz="2" w:space="0" w:color="E5E7EB" w:frame="1"/>
              </w:rPr>
              <w:t>&lt;100</w:t>
            </w:r>
          </w:p>
        </w:tc>
        <w:tc>
          <w:tcPr>
            <w:tcW w:w="31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1F5F9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4B2F" w:rsidRPr="00784B2F" w:rsidRDefault="00784B2F" w:rsidP="00784B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</w:rPr>
            </w:pPr>
            <w:r w:rsidRPr="00784B2F"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  <w:bdr w:val="single" w:sz="2" w:space="0" w:color="E5E7EB" w:frame="1"/>
              </w:rPr>
              <w:t>&lt;140</w:t>
            </w:r>
          </w:p>
        </w:tc>
        <w:tc>
          <w:tcPr>
            <w:tcW w:w="31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1F5F9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4B2F" w:rsidRPr="00784B2F" w:rsidRDefault="00784B2F" w:rsidP="00784B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</w:rPr>
            </w:pPr>
            <w:r w:rsidRPr="00784B2F"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  <w:bdr w:val="single" w:sz="2" w:space="0" w:color="E5E7EB" w:frame="1"/>
              </w:rPr>
              <w:t>Normal</w:t>
            </w:r>
          </w:p>
        </w:tc>
      </w:tr>
      <w:tr w:rsidR="00784B2F" w:rsidRPr="00784B2F" w:rsidTr="00784B2F">
        <w:trPr>
          <w:trHeight w:val="275"/>
        </w:trPr>
        <w:tc>
          <w:tcPr>
            <w:tcW w:w="31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1F5F9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4B2F" w:rsidRPr="00784B2F" w:rsidRDefault="00784B2F" w:rsidP="00784B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</w:rPr>
            </w:pPr>
            <w:r w:rsidRPr="00784B2F"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  <w:bdr w:val="single" w:sz="2" w:space="0" w:color="E5E7EB" w:frame="1"/>
              </w:rPr>
              <w:t>100 to 125</w:t>
            </w:r>
          </w:p>
        </w:tc>
        <w:tc>
          <w:tcPr>
            <w:tcW w:w="31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1F5F9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4B2F" w:rsidRPr="00784B2F" w:rsidRDefault="00784B2F" w:rsidP="00784B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</w:rPr>
            </w:pPr>
            <w:r w:rsidRPr="00784B2F"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  <w:bdr w:val="single" w:sz="2" w:space="0" w:color="E5E7EB" w:frame="1"/>
              </w:rPr>
              <w:t>140 to 199</w:t>
            </w:r>
          </w:p>
        </w:tc>
        <w:tc>
          <w:tcPr>
            <w:tcW w:w="31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1F5F9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4B2F" w:rsidRPr="00784B2F" w:rsidRDefault="00784B2F" w:rsidP="00784B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</w:rPr>
            </w:pPr>
            <w:r w:rsidRPr="00784B2F"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  <w:bdr w:val="single" w:sz="2" w:space="0" w:color="E5E7EB" w:frame="1"/>
              </w:rPr>
              <w:t>Pre Diabetes</w:t>
            </w:r>
          </w:p>
        </w:tc>
      </w:tr>
      <w:tr w:rsidR="00784B2F" w:rsidRPr="00784B2F" w:rsidTr="00784B2F">
        <w:trPr>
          <w:trHeight w:val="261"/>
        </w:trPr>
        <w:tc>
          <w:tcPr>
            <w:tcW w:w="31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1F5F9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4B2F" w:rsidRPr="00784B2F" w:rsidRDefault="00784B2F" w:rsidP="00784B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</w:rPr>
            </w:pPr>
            <w:r w:rsidRPr="00784B2F"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  <w:bdr w:val="single" w:sz="2" w:space="0" w:color="E5E7EB" w:frame="1"/>
              </w:rPr>
              <w:t>&gt;126</w:t>
            </w:r>
          </w:p>
        </w:tc>
        <w:tc>
          <w:tcPr>
            <w:tcW w:w="31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1F5F9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4B2F" w:rsidRPr="00784B2F" w:rsidRDefault="00784B2F" w:rsidP="00784B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</w:rPr>
            </w:pPr>
            <w:r w:rsidRPr="00784B2F"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  <w:bdr w:val="single" w:sz="2" w:space="0" w:color="E5E7EB" w:frame="1"/>
              </w:rPr>
              <w:t>&gt;200</w:t>
            </w:r>
          </w:p>
        </w:tc>
        <w:tc>
          <w:tcPr>
            <w:tcW w:w="31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1F5F9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4B2F" w:rsidRPr="00784B2F" w:rsidRDefault="00784B2F" w:rsidP="00784B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</w:rPr>
            </w:pPr>
            <w:r w:rsidRPr="00784B2F"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  <w:bdr w:val="single" w:sz="2" w:space="0" w:color="E5E7EB" w:frame="1"/>
              </w:rPr>
              <w:t>Diabetes</w:t>
            </w:r>
          </w:p>
        </w:tc>
      </w:tr>
    </w:tbl>
    <w:p w:rsidR="00784B2F" w:rsidRPr="00784B2F" w:rsidRDefault="00784B2F" w:rsidP="00784B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after="96" w:line="240" w:lineRule="auto"/>
        <w:rPr>
          <w:rFonts w:ascii="Times New Roman" w:eastAsia="Times New Roman" w:hAnsi="Times New Roman" w:cs="Times New Roman"/>
          <w:color w:val="161C2D"/>
          <w:sz w:val="24"/>
          <w:szCs w:val="24"/>
        </w:rPr>
      </w:pPr>
    </w:p>
    <w:p w:rsidR="007F76D9" w:rsidRDefault="00784B2F" w:rsidP="00784B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after="96" w:line="240" w:lineRule="auto"/>
        <w:rPr>
          <w:rFonts w:ascii="Times New Roman" w:eastAsia="Times New Roman" w:hAnsi="Times New Roman" w:cs="Times New Roman"/>
          <w:color w:val="161C2D"/>
          <w:sz w:val="24"/>
          <w:szCs w:val="24"/>
        </w:rPr>
      </w:pPr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t>A level of 126 mg/</w:t>
      </w:r>
      <w:proofErr w:type="spellStart"/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t>dL</w:t>
      </w:r>
      <w:proofErr w:type="spellEnd"/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t xml:space="preserve"> or above, confirmed by repeating the test on another day, means a person has diabetes.</w:t>
      </w:r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br/>
      </w:r>
    </w:p>
    <w:p w:rsidR="007F76D9" w:rsidRDefault="00784B2F" w:rsidP="00784B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after="96" w:line="240" w:lineRule="auto"/>
        <w:rPr>
          <w:rFonts w:ascii="Times New Roman" w:eastAsia="Times New Roman" w:hAnsi="Times New Roman" w:cs="Times New Roman"/>
          <w:color w:val="161C2D"/>
          <w:sz w:val="24"/>
          <w:szCs w:val="24"/>
        </w:rPr>
      </w:pPr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t>IGT (2 hrs Post meal), means a person has an increased risk of developing type 2 diabetes but does not have it yet.</w:t>
      </w:r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br/>
      </w:r>
    </w:p>
    <w:p w:rsidR="00784B2F" w:rsidRPr="00784B2F" w:rsidRDefault="00784B2F" w:rsidP="00784B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after="96" w:line="240" w:lineRule="auto"/>
        <w:rPr>
          <w:rFonts w:ascii="Times New Roman" w:eastAsia="Times New Roman" w:hAnsi="Times New Roman" w:cs="Times New Roman"/>
          <w:color w:val="161C2D"/>
          <w:sz w:val="24"/>
          <w:szCs w:val="24"/>
        </w:rPr>
      </w:pPr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t>A 2-hour glucose level of 200 mg/</w:t>
      </w:r>
      <w:proofErr w:type="spellStart"/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t>dL</w:t>
      </w:r>
      <w:proofErr w:type="spellEnd"/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t xml:space="preserve"> or above, confirmed by repeating the test on another day, means a person has diabetes.</w:t>
      </w:r>
    </w:p>
    <w:p w:rsidR="00784B2F" w:rsidRDefault="00784B2F">
      <w:pPr>
        <w:rPr>
          <w:rFonts w:ascii="Times New Roman" w:hAnsi="Times New Roman" w:cs="Times New Roman"/>
          <w:sz w:val="24"/>
          <w:szCs w:val="24"/>
        </w:rPr>
      </w:pPr>
    </w:p>
    <w:p w:rsidR="007F76D9" w:rsidRPr="00784B2F" w:rsidRDefault="007F7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--- End of report ---</w:t>
      </w:r>
    </w:p>
    <w:sectPr w:rsidR="007F76D9" w:rsidRPr="00784B2F" w:rsidSect="00D537F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537FA"/>
    <w:rsid w:val="0048551A"/>
    <w:rsid w:val="00784B2F"/>
    <w:rsid w:val="007F76D9"/>
    <w:rsid w:val="009441FA"/>
    <w:rsid w:val="00D537FA"/>
    <w:rsid w:val="00F57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3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84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4B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0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2024-12-30T05:43:00Z</dcterms:created>
  <dcterms:modified xsi:type="dcterms:W3CDTF">2024-12-30T06:14:00Z</dcterms:modified>
</cp:coreProperties>
</file>