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OpenLakehouse:</w:t>
      </w:r>
      <w:r>
        <w:t xml:space="preserve"> </w:t>
      </w:r>
      <w:r>
        <w:t xml:space="preserve">A</w:t>
      </w:r>
      <w:r>
        <w:t xml:space="preserve"> </w:t>
      </w:r>
      <w:r>
        <w:t xml:space="preserve">Canonical</w:t>
      </w:r>
      <w:r>
        <w:t xml:space="preserve"> </w:t>
      </w:r>
      <w:r>
        <w:t xml:space="preserve">Interoperability</w:t>
      </w:r>
      <w:r>
        <w:t xml:space="preserve"> </w:t>
      </w:r>
      <w:r>
        <w:t xml:space="preserve">Layer</w:t>
      </w:r>
      <w:r>
        <w:t xml:space="preserve"> </w:t>
      </w:r>
      <w:r>
        <w:t xml:space="preserve">for</w:t>
      </w:r>
      <w:r>
        <w:t xml:space="preserve"> </w:t>
      </w:r>
      <w:r>
        <w:t xml:space="preserve">AI</w:t>
      </w:r>
      <w:r>
        <w:t xml:space="preserve"> </w:t>
      </w:r>
      <w:r>
        <w:t xml:space="preserve">Agent</w:t>
      </w:r>
      <w:r>
        <w:t xml:space="preserve"> </w:t>
      </w:r>
      <w:r>
        <w:t xml:space="preserve">Access</w:t>
      </w:r>
      <w:r>
        <w:t xml:space="preserve"> </w:t>
      </w:r>
      <w:r>
        <w:t xml:space="preserve">to</w:t>
      </w:r>
      <w:r>
        <w:t xml:space="preserve"> </w:t>
      </w:r>
      <w:r>
        <w:t xml:space="preserve">Multi-Platform</w:t>
      </w:r>
      <w:r>
        <w:t xml:space="preserve"> </w:t>
      </w:r>
      <w:r>
        <w:t xml:space="preserve">Lakehouse</w:t>
      </w:r>
      <w:r>
        <w:t xml:space="preserve"> </w:t>
      </w:r>
      <w:r>
        <w:t xml:space="preserve">Data</w:t>
      </w:r>
    </w:p>
    <w:p>
      <w:pPr>
        <w:pStyle w:val="Date"/>
      </w:pPr>
      <w:r>
        <w:t xml:space="preserve">2026-07-06</w:t>
      </w:r>
    </w:p>
    <w:bookmarkStart w:id="20" w:name="summary"/>
    <w:p>
      <w:pPr>
        <w:pStyle w:val="Heading1"/>
      </w:pPr>
      <w:r>
        <w:t xml:space="preserve">Summary</w:t>
      </w:r>
    </w:p>
    <w:p>
      <w:pPr>
        <w:pStyle w:val="FirstParagraph"/>
      </w:pPr>
      <w:r>
        <w:rPr>
          <w:bCs/>
          <w:b/>
        </w:rPr>
        <w:t xml:space="preserve">OpenLakehouse is an open-source Python reference implementation of the Canonical</w:t>
      </w:r>
      <w:r>
        <w:rPr>
          <w:bCs/>
          <w:b/>
        </w:rPr>
        <w:t xml:space="preserve"> </w:t>
      </w:r>
      <w:r>
        <w:rPr>
          <w:bCs/>
          <w:b/>
        </w:rPr>
        <w:t xml:space="preserve">Lakehouse Model (CLM)</w:t>
      </w:r>
      <w:r>
        <w:t xml:space="preserve">, an architectural pattern for giving AI agents uniform,</w:t>
      </w:r>
      <w:r>
        <w:t xml:space="preserve"> </w:t>
      </w:r>
      <w:r>
        <w:t xml:space="preserve">governed access to data across heterogeneous lakehouse platforms. Existing approaches</w:t>
      </w:r>
      <w:r>
        <w:t xml:space="preserve"> </w:t>
      </w:r>
      <w:r>
        <w:t xml:space="preserve">require agents to handle each platform’s API, namespace model, and permission system</w:t>
      </w:r>
      <w:r>
        <w:t xml:space="preserve"> </w:t>
      </w:r>
      <w:r>
        <w:t xml:space="preserve">directly — coupling agent code to vendor-specific details that change independently.</w:t>
      </w:r>
      <w:r>
        <w:t xml:space="preserve"> </w:t>
      </w:r>
      <w:r>
        <w:t xml:space="preserve">The CLM addresses this by defining three canonical domains — metadata, query results,</w:t>
      </w:r>
      <w:r>
        <w:t xml:space="preserve"> </w:t>
      </w:r>
      <w:r>
        <w:t xml:space="preserve">and authorization decisions — into which any platform’s native responses are</w:t>
      </w:r>
      <w:r>
        <w:t xml:space="preserve"> </w:t>
      </w:r>
      <w:r>
        <w:t xml:space="preserve">translated before reaching the agent.</w:t>
      </w:r>
    </w:p>
    <w:p>
      <w:pPr>
        <w:pStyle w:val="BodyText"/>
      </w:pPr>
      <w:r>
        <w:t xml:space="preserve">OpenLakehouse exposes these canonical models through a Model Context Protocol (MCP)</w:t>
      </w:r>
      <w:r>
        <w:t xml:space="preserve"> </w:t>
      </w:r>
      <w:r>
        <w:t xml:space="preserve">server</w:t>
      </w:r>
      <w:r>
        <w:t xml:space="preserve"> </w:t>
      </w:r>
      <w:r>
        <w:t xml:space="preserve">(Anthropic 2024)</w:t>
      </w:r>
      <w:r>
        <w:t xml:space="preserve"> </w:t>
      </w:r>
      <w:r>
        <w:t xml:space="preserve">that translates platform-native responses into CLM data</w:t>
      </w:r>
      <w:r>
        <w:t xml:space="preserve"> </w:t>
      </w:r>
      <w:r>
        <w:t xml:space="preserve">structures implemented as Pydantic</w:t>
      </w:r>
      <w:r>
        <w:t xml:space="preserve"> </w:t>
      </w:r>
      <w:r>
        <w:t xml:space="preserve">(Colvin and Pydantic Contributors 2024)</w:t>
      </w:r>
      <w:r>
        <w:t xml:space="preserve"> </w:t>
      </w:r>
      <w:r>
        <w:t xml:space="preserve">models. AI agents invoke the same</w:t>
      </w:r>
      <w:r>
        <w:t xml:space="preserve"> </w:t>
      </w:r>
      <w:r>
        <w:t xml:space="preserve">MCP tools and receive the same canonical response structures regardless of the</w:t>
      </w:r>
      <w:r>
        <w:t xml:space="preserve"> </w:t>
      </w:r>
      <w:r>
        <w:t xml:space="preserve">underlying lakehouse platform.</w:t>
      </w:r>
    </w:p>
    <w:p>
      <w:pPr>
        <w:pStyle w:val="BodyText"/>
      </w:pPr>
      <w:r>
        <w:t xml:space="preserve">Version 1 ships with adapters for Databricks (Unity Catalog and SQL Warehouse)</w:t>
      </w:r>
      <w:r>
        <w:t xml:space="preserve"> </w:t>
      </w:r>
      <w:r>
        <w:t xml:space="preserve">(Databricks 2023)</w:t>
      </w:r>
      <w:r>
        <w:t xml:space="preserve"> </w:t>
      </w:r>
      <w:r>
        <w:t xml:space="preserve">and AWS (Glue Data Catalog and Athena)</w:t>
      </w:r>
      <w:r>
        <w:t xml:space="preserve"> </w:t>
      </w:r>
      <w:r>
        <w:t xml:space="preserve">(Amazon Web Services 2017)</w:t>
      </w:r>
      <w:r>
        <w:t xml:space="preserve">. A documented</w:t>
      </w:r>
      <w:r>
        <w:t xml:space="preserve"> </w:t>
      </w:r>
      <w:r>
        <w:rPr>
          <w:rStyle w:val="VerbatimChar"/>
        </w:rPr>
        <w:t xml:space="preserve">LakehouseAdapter</w:t>
      </w:r>
      <w:r>
        <w:t xml:space="preserve"> </w:t>
      </w:r>
      <w:r>
        <w:t xml:space="preserve">interface allows new platforms to be integrated without modifying</w:t>
      </w:r>
      <w:r>
        <w:t xml:space="preserve"> </w:t>
      </w:r>
      <w:r>
        <w:t xml:space="preserve">the MCP server, CLM models, or agent code.</w:t>
      </w:r>
    </w:p>
    <w:bookmarkEnd w:id="20"/>
    <w:bookmarkStart w:id="21" w:name="statement-of-need"/>
    <w:p>
      <w:pPr>
        <w:pStyle w:val="Heading1"/>
      </w:pPr>
      <w:r>
        <w:t xml:space="preserve">Statement of Need</w:t>
      </w:r>
    </w:p>
    <w:p>
      <w:pPr>
        <w:pStyle w:val="FirstParagraph"/>
      </w:pPr>
      <w:r>
        <w:t xml:space="preserve">Enterprise AI agents increasingly query data distributed across heterogeneous</w:t>
      </w:r>
      <w:r>
        <w:t xml:space="preserve"> </w:t>
      </w:r>
      <w:r>
        <w:t xml:space="preserve">lakehouse platforms</w:t>
      </w:r>
      <w:r>
        <w:t xml:space="preserve"> </w:t>
      </w:r>
      <w:r>
        <w:t xml:space="preserve">(Armbrust et al. 2021)</w:t>
      </w:r>
      <w:r>
        <w:t xml:space="preserve">. Each platform exposes a different API</w:t>
      </w:r>
      <w:r>
        <w:t xml:space="preserve"> </w:t>
      </w:r>
      <w:r>
        <w:t xml:space="preserve">surface: Databricks Unity Catalog uses a 3-level namespace and a synchronous DB-API</w:t>
      </w:r>
      <w:r>
        <w:t xml:space="preserve"> </w:t>
      </w:r>
      <w:r>
        <w:t xml:space="preserve">cursor; AWS Glue and Athena use a flat database namespace and an asynchronous</w:t>
      </w:r>
      <w:r>
        <w:t xml:space="preserve"> </w:t>
      </w:r>
      <w:r>
        <w:t xml:space="preserve">start-poll-fetch model; Snowflake, Google BigQuery, and Apache Spark</w:t>
      </w:r>
      <w:r>
        <w:t xml:space="preserve"> </w:t>
      </w:r>
      <w:r>
        <w:t xml:space="preserve">(Zaharia et al. 2016)</w:t>
      </w:r>
      <w:r>
        <w:t xml:space="preserve"> </w:t>
      </w:r>
      <w:r>
        <w:t xml:space="preserve">each add further variations.</w:t>
      </w:r>
    </w:p>
    <w:p>
      <w:pPr>
        <w:pStyle w:val="BodyText"/>
      </w:pPr>
      <w:r>
        <w:t xml:space="preserve">Connecting an agent to multiple platforms directly requires per-platform response</w:t>
      </w:r>
      <w:r>
        <w:t xml:space="preserve"> </w:t>
      </w:r>
      <w:r>
        <w:t xml:space="preserve">parsers, platform-specific branching on every tool call, and separate permission</w:t>
      </w:r>
      <w:r>
        <w:t xml:space="preserve"> </w:t>
      </w:r>
      <w:r>
        <w:t xml:space="preserve">models. This coupling grows linearly: each additional platform adds an MCP endpoint,</w:t>
      </w:r>
      <w:r>
        <w:t xml:space="preserve"> </w:t>
      </w:r>
      <w:r>
        <w:t xml:space="preserve">a response parser, and a governance configuration, with changes required in both</w:t>
      </w:r>
      <w:r>
        <w:t xml:space="preserve"> </w:t>
      </w:r>
      <w:r>
        <w:t xml:space="preserve">server and agent code.</w:t>
      </w:r>
    </w:p>
    <w:p>
      <w:pPr>
        <w:pStyle w:val="BodyText"/>
      </w:pPr>
      <w:r>
        <w:t xml:space="preserve">Unlike deploying one MCP server per platform, OpenLakehouse presents a single</w:t>
      </w:r>
      <w:r>
        <w:t xml:space="preserve"> </w:t>
      </w:r>
      <w:r>
        <w:t xml:space="preserve">canonical interface that eliminates platform-specific parsing and governance logic</w:t>
      </w:r>
      <w:r>
        <w:t xml:space="preserve"> </w:t>
      </w:r>
      <w:r>
        <w:t xml:space="preserve">from AI agents. Platform-specific logic is encapsulated in adapter classes, so agents</w:t>
      </w:r>
      <w:r>
        <w:t xml:space="preserve"> </w:t>
      </w:r>
      <w:r>
        <w:t xml:space="preserve">always receive the same canonical response types —</w:t>
      </w:r>
      <w:r>
        <w:t xml:space="preserve"> </w:t>
      </w:r>
      <w:r>
        <w:rPr>
          <w:rStyle w:val="VerbatimChar"/>
        </w:rPr>
        <w:t xml:space="preserve">CanonicalCatalog</w:t>
      </w:r>
      <w:r>
        <w:t xml:space="preserve">,</w:t>
      </w:r>
      <w:r>
        <w:t xml:space="preserve"> </w:t>
      </w:r>
      <w:r>
        <w:rPr>
          <w:rStyle w:val="VerbatimChar"/>
        </w:rPr>
        <w:t xml:space="preserve">CanonicalSchema</w:t>
      </w:r>
      <w:r>
        <w:t xml:space="preserve">,</w:t>
      </w:r>
      <w:r>
        <w:t xml:space="preserve"> </w:t>
      </w:r>
      <w:r>
        <w:rPr>
          <w:rStyle w:val="VerbatimChar"/>
        </w:rPr>
        <w:t xml:space="preserve">CanonicalTable</w:t>
      </w:r>
      <w:r>
        <w:t xml:space="preserve">,</w:t>
      </w:r>
      <w:r>
        <w:t xml:space="preserve"> </w:t>
      </w:r>
      <w:r>
        <w:rPr>
          <w:rStyle w:val="VerbatimChar"/>
        </w:rPr>
        <w:t xml:space="preserve">CanonicalTableSchema</w:t>
      </w:r>
      <w:r>
        <w:t xml:space="preserve">, and</w:t>
      </w:r>
      <w:r>
        <w:t xml:space="preserve"> </w:t>
      </w:r>
      <w:r>
        <w:rPr>
          <w:rStyle w:val="VerbatimChar"/>
        </w:rPr>
        <w:t xml:space="preserve">CanonicalQueryResult</w:t>
      </w:r>
      <w:r>
        <w:t xml:space="preserve"> </w:t>
      </w:r>
      <w:r>
        <w:t xml:space="preserve">— regardless of the underlying platform. Adding a new platform</w:t>
      </w:r>
      <w:r>
        <w:t xml:space="preserve"> </w:t>
      </w:r>
      <w:r>
        <w:t xml:space="preserve">requires no changes to the agent integration code.</w:t>
      </w:r>
    </w:p>
    <w:p>
      <w:pPr>
        <w:pStyle w:val="BodyText"/>
      </w:pPr>
      <w:r>
        <w:t xml:space="preserve">The intended users are data engineers and AI practitioners building agents over</w:t>
      </w:r>
      <w:r>
        <w:t xml:space="preserve"> </w:t>
      </w:r>
      <w:r>
        <w:t xml:space="preserve">multi-vendor data estates. No existing open-source MCP server provides governed,</w:t>
      </w:r>
      <w:r>
        <w:t xml:space="preserve"> </w:t>
      </w:r>
      <w:r>
        <w:t xml:space="preserve">multi-platform lakehouse access with a unified canonical response model.</w:t>
      </w:r>
    </w:p>
    <w:bookmarkEnd w:id="21"/>
    <w:bookmarkStart w:id="23" w:name="features"/>
    <w:p>
      <w:pPr>
        <w:pStyle w:val="Heading1"/>
      </w:pPr>
      <w:r>
        <w:t xml:space="preserve">Features</w:t>
      </w:r>
    </w:p>
    <w:p>
      <w:pPr>
        <w:numPr>
          <w:ilvl w:val="0"/>
          <w:numId w:val="1001"/>
        </w:numPr>
      </w:pPr>
      <w:r>
        <w:rPr>
          <w:bCs/>
          <w:b/>
        </w:rPr>
        <w:t xml:space="preserve">Canonical Lakehouse Model.</w:t>
      </w:r>
      <w:r>
        <w:t xml:space="preserve"> </w:t>
      </w:r>
      <w:r>
        <w:t xml:space="preserve">Metadata, query results, and authorization decisions</w:t>
      </w:r>
      <w:r>
        <w:t xml:space="preserve"> </w:t>
      </w:r>
      <w:r>
        <w:t xml:space="preserve">are normalized into strongly typed Pydantic v2 models. Agents consume a consistent</w:t>
      </w:r>
      <w:r>
        <w:t xml:space="preserve"> </w:t>
      </w:r>
      <w:r>
        <w:t xml:space="preserve">response schema regardless of which platform serves the data.</w:t>
      </w:r>
    </w:p>
    <w:p>
      <w:pPr>
        <w:numPr>
          <w:ilvl w:val="0"/>
          <w:numId w:val="1001"/>
        </w:numPr>
      </w:pPr>
      <w:r>
        <w:rPr>
          <w:bCs/>
          <w:b/>
        </w:rPr>
        <w:t xml:space="preserve">Unified MCP interface.</w:t>
      </w:r>
      <w:r>
        <w:t xml:space="preserve"> </w:t>
      </w:r>
      <w:r>
        <w:t xml:space="preserve">Five platform-independent tools —</w:t>
      </w:r>
      <w:r>
        <w:t xml:space="preserve"> </w:t>
      </w:r>
      <w:r>
        <w:rPr>
          <w:rStyle w:val="VerbatimChar"/>
        </w:rPr>
        <w:t xml:space="preserve">list_catalogs</w:t>
      </w:r>
      <w:r>
        <w:t xml:space="preserve">,</w:t>
      </w:r>
      <w:r>
        <w:t xml:space="preserve"> </w:t>
      </w:r>
      <w:r>
        <w:rPr>
          <w:rStyle w:val="VerbatimChar"/>
        </w:rPr>
        <w:t xml:space="preserve">list_schemas</w:t>
      </w:r>
      <w:r>
        <w:t xml:space="preserve">,</w:t>
      </w:r>
      <w:r>
        <w:t xml:space="preserve"> </w:t>
      </w:r>
      <w:r>
        <w:rPr>
          <w:rStyle w:val="VerbatimChar"/>
        </w:rPr>
        <w:t xml:space="preserve">list_tables</w:t>
      </w:r>
      <w:r>
        <w:t xml:space="preserve">,</w:t>
      </w:r>
      <w:r>
        <w:t xml:space="preserve"> </w:t>
      </w:r>
      <w:r>
        <w:rPr>
          <w:rStyle w:val="VerbatimChar"/>
        </w:rPr>
        <w:t xml:space="preserve">describe_table</w:t>
      </w:r>
      <w:r>
        <w:t xml:space="preserve">, and</w:t>
      </w:r>
      <w:r>
        <w:t xml:space="preserve"> </w:t>
      </w:r>
      <w:r>
        <w:rPr>
          <w:rStyle w:val="VerbatimChar"/>
        </w:rPr>
        <w:t xml:space="preserve">run_query</w:t>
      </w:r>
      <w:r>
        <w:t xml:space="preserve"> </w:t>
      </w:r>
      <w:r>
        <w:t xml:space="preserve">— cover the full</w:t>
      </w:r>
      <w:r>
        <w:t xml:space="preserve"> </w:t>
      </w:r>
      <w:r>
        <w:t xml:space="preserve">data discovery and query workflow. Tool signatures and response shapes are stable</w:t>
      </w:r>
      <w:r>
        <w:t xml:space="preserve"> </w:t>
      </w:r>
      <w:r>
        <w:t xml:space="preserve">across platform changes.</w:t>
      </w:r>
    </w:p>
    <w:p>
      <w:pPr>
        <w:numPr>
          <w:ilvl w:val="0"/>
          <w:numId w:val="1001"/>
        </w:numPr>
      </w:pPr>
      <w:r>
        <w:rPr>
          <w:bCs/>
          <w:b/>
        </w:rPr>
        <w:t xml:space="preserve">Supported platforms.</w:t>
      </w:r>
      <w:r>
        <w:t xml:space="preserve"> </w:t>
      </w:r>
      <w:r>
        <w:t xml:space="preserve">Version 1 ships production adapters for Databricks (Unity</w:t>
      </w:r>
      <w:r>
        <w:t xml:space="preserve"> </w:t>
      </w:r>
      <w:r>
        <w:t xml:space="preserve">Catalog + SQL Warehouse) and AWS (Glue + Athena). A Snowflake stub demonstrates the</w:t>
      </w:r>
      <w:r>
        <w:t xml:space="preserve"> </w:t>
      </w:r>
      <w:r>
        <w:t xml:space="preserve">extension contract.</w:t>
      </w:r>
    </w:p>
    <w:p>
      <w:pPr>
        <w:numPr>
          <w:ilvl w:val="0"/>
          <w:numId w:val="1001"/>
        </w:numPr>
      </w:pPr>
      <w:r>
        <w:rPr>
          <w:bCs/>
          <w:b/>
        </w:rPr>
        <w:t xml:space="preserve">Governance.</w:t>
      </w:r>
      <w:r>
        <w:t xml:space="preserve"> </w:t>
      </w:r>
      <w:r>
        <w:t xml:space="preserve">A built-in policy engine enforces read-only, role-based access</w:t>
      </w:r>
      <w:r>
        <w:t xml:space="preserve"> </w:t>
      </w:r>
      <w:r>
        <w:t xml:space="preserve">control with default-deny semantics. Policy is evaluated against a canonical</w:t>
      </w:r>
      <w:r>
        <w:t xml:space="preserve"> </w:t>
      </w:r>
      <w:r>
        <w:t xml:space="preserve">resource scope before any adapter call, so governance cannot be bypassed.</w:t>
      </w:r>
      <w:r>
        <w:t xml:space="preserve"> </w:t>
      </w:r>
      <w:r>
        <w:t xml:space="preserve">Authorization decisions carry structured reason codes for auditability.</w:t>
      </w:r>
    </w:p>
    <w:p>
      <w:pPr>
        <w:numPr>
          <w:ilvl w:val="0"/>
          <w:numId w:val="1001"/>
        </w:numPr>
      </w:pPr>
      <w:r>
        <w:rPr>
          <w:bCs/>
          <w:b/>
        </w:rPr>
        <w:t xml:space="preserve">Extensibility.</w:t>
      </w:r>
      <w:r>
        <w:t xml:space="preserve"> </w:t>
      </w:r>
      <w:r>
        <w:t xml:space="preserve">A new platform requires one adapter class implementing</w:t>
      </w:r>
      <w:r>
        <w:t xml:space="preserve"> </w:t>
      </w:r>
      <w:r>
        <w:rPr>
          <w:rStyle w:val="VerbatimChar"/>
        </w:rPr>
        <w:t xml:space="preserve">LakehouseAdapter</w:t>
      </w:r>
      <w:r>
        <w:t xml:space="preserve"> </w:t>
      </w:r>
      <w:r>
        <w:t xml:space="preserve">and minor configuration edits — no changes to MCP tools,</w:t>
      </w:r>
      <w:r>
        <w:t xml:space="preserve"> </w:t>
      </w:r>
      <w:r>
        <w:t xml:space="preserve">canonical models, or agent code.</w:t>
      </w:r>
    </w:p>
    <w:bookmarkStart w:id="22" w:name="canonical-lakehouse-model"/>
    <w:p>
      <w:pPr>
        <w:pStyle w:val="Heading2"/>
      </w:pPr>
      <w:r>
        <w:t xml:space="preserve">Canonical Lakehouse Model</w:t>
      </w:r>
    </w:p>
    <w:p>
      <w:pPr>
        <w:pStyle w:val="FirstParagraph"/>
      </w:pPr>
      <w:r>
        <w:t xml:space="preserve">The CLM covers three domains:</w:t>
      </w:r>
    </w:p>
    <w:p>
      <w:pPr>
        <w:numPr>
          <w:ilvl w:val="0"/>
          <w:numId w:val="1002"/>
        </w:numPr>
      </w:pPr>
      <w:r>
        <w:rPr>
          <w:bCs/>
          <w:b/>
        </w:rPr>
        <w:t xml:space="preserve">Metadata</w:t>
      </w:r>
      <w:r>
        <w:t xml:space="preserve"> </w:t>
      </w:r>
      <w:r>
        <w:t xml:space="preserve">— catalogs, schemas, and tables are normalized into</w:t>
      </w:r>
      <w:r>
        <w:t xml:space="preserve"> </w:t>
      </w:r>
      <w:r>
        <w:rPr>
          <w:rStyle w:val="VerbatimChar"/>
        </w:rPr>
        <w:t xml:space="preserve">CanonicalCatalog</w:t>
      </w:r>
      <w:r>
        <w:t xml:space="preserve">,</w:t>
      </w:r>
      <w:r>
        <w:t xml:space="preserve"> </w:t>
      </w:r>
      <w:r>
        <w:rPr>
          <w:rStyle w:val="VerbatimChar"/>
        </w:rPr>
        <w:t xml:space="preserve">CanonicalSchema</w:t>
      </w:r>
      <w:r>
        <w:t xml:space="preserve">, and</w:t>
      </w:r>
      <w:r>
        <w:t xml:space="preserve"> </w:t>
      </w:r>
      <w:r>
        <w:rPr>
          <w:rStyle w:val="VerbatimChar"/>
        </w:rPr>
        <w:t xml:space="preserve">CanonicalTable</w:t>
      </w:r>
      <w:r>
        <w:t xml:space="preserve"> </w:t>
      </w:r>
      <w:r>
        <w:t xml:space="preserve">objects, regardless of the platform’s</w:t>
      </w:r>
      <w:r>
        <w:t xml:space="preserve"> </w:t>
      </w:r>
      <w:r>
        <w:t xml:space="preserve">namespace hierarchy.</w:t>
      </w:r>
    </w:p>
    <w:p>
      <w:pPr>
        <w:numPr>
          <w:ilvl w:val="0"/>
          <w:numId w:val="1002"/>
        </w:numPr>
      </w:pPr>
      <w:r>
        <w:rPr>
          <w:bCs/>
          <w:b/>
        </w:rPr>
        <w:t xml:space="preserve">Query Results</w:t>
      </w:r>
      <w:r>
        <w:t xml:space="preserve"> </w:t>
      </w:r>
      <w:r>
        <w:t xml:space="preserve">— output is wrapped in</w:t>
      </w:r>
      <w:r>
        <w:t xml:space="preserve"> </w:t>
      </w:r>
      <w:r>
        <w:rPr>
          <w:rStyle w:val="VerbatimChar"/>
        </w:rPr>
        <w:t xml:space="preserve">CanonicalQueryResult</w:t>
      </w:r>
      <w:r>
        <w:t xml:space="preserve">, carrying column</w:t>
      </w:r>
      <w:r>
        <w:t xml:space="preserve"> </w:t>
      </w:r>
      <w:r>
        <w:t xml:space="preserve">definitions, typed rows, pagination metadata, and execution context.</w:t>
      </w:r>
    </w:p>
    <w:p>
      <w:pPr>
        <w:numPr>
          <w:ilvl w:val="0"/>
          <w:numId w:val="1002"/>
        </w:numPr>
      </w:pPr>
      <w:r>
        <w:rPr>
          <w:bCs/>
          <w:b/>
        </w:rPr>
        <w:t xml:space="preserve">Authorization</w:t>
      </w:r>
      <w:r>
        <w:t xml:space="preserve"> </w:t>
      </w:r>
      <w:r>
        <w:t xml:space="preserve">— decisions are returned as</w:t>
      </w:r>
      <w:r>
        <w:t xml:space="preserve"> </w:t>
      </w:r>
      <w:r>
        <w:rPr>
          <w:rStyle w:val="VerbatimChar"/>
        </w:rPr>
        <w:t xml:space="preserve">CanonicalAuthorizationDecision</w:t>
      </w:r>
      <w:r>
        <w:t xml:space="preserve"> </w:t>
      </w:r>
      <w:r>
        <w:t xml:space="preserve">objects with structured reason codes, decoupling policy from platform permission</w:t>
      </w:r>
      <w:r>
        <w:t xml:space="preserve"> </w:t>
      </w:r>
      <w:r>
        <w:t xml:space="preserve">systems.</w:t>
      </w:r>
    </w:p>
    <w:p>
      <w:pPr>
        <w:pStyle w:val="FirstParagraph"/>
      </w:pPr>
      <w:r>
        <w:t xml:space="preserve">Each adapter translates platform-native responses into canonical models via stateless</w:t>
      </w:r>
      <w:r>
        <w:t xml:space="preserve"> </w:t>
      </w:r>
      <w:r>
        <w:t xml:space="preserve">mapper functions. Agents never receive raw platform output.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Native Namespace</w:t>
            </w:r>
          </w:p>
        </w:tc>
        <w:tc>
          <w:tcPr/>
          <w:p>
            <w:pPr>
              <w:pStyle w:val="Compact"/>
              <w:jc w:val="left"/>
            </w:pPr>
            <w:r>
              <w:t xml:space="preserve">Canonical Model</w:t>
            </w:r>
          </w:p>
        </w:tc>
      </w:tr>
      <w:tr>
        <w:tc>
          <w:tcPr/>
          <w:p>
            <w:pPr>
              <w:pStyle w:val="Compact"/>
              <w:jc w:val="left"/>
            </w:pPr>
            <w:r>
              <w:t xml:space="preserve">Databricks</w:t>
            </w:r>
          </w:p>
        </w:tc>
        <w:tc>
          <w:tcPr/>
          <w:p>
            <w:pPr>
              <w:pStyle w:val="Compact"/>
              <w:jc w:val="left"/>
            </w:pPr>
            <w:r>
              <w:t xml:space="preserve">catalog.schema.table</w:t>
            </w:r>
          </w:p>
        </w:tc>
        <w:tc>
          <w:tcPr/>
          <w:p>
            <w:pPr>
              <w:pStyle w:val="Compact"/>
              <w:jc w:val="left"/>
            </w:pPr>
            <w:r>
              <w:rPr>
                <w:rStyle w:val="VerbatimChar"/>
              </w:rPr>
              <w:t xml:space="preserve">CanonicalTable</w:t>
            </w:r>
          </w:p>
        </w:tc>
      </w:tr>
      <w:tr>
        <w:tc>
          <w:tcPr/>
          <w:p>
            <w:pPr>
              <w:pStyle w:val="Compact"/>
              <w:jc w:val="left"/>
            </w:pPr>
            <w:r>
              <w:t xml:space="preserve">AWS Glue</w:t>
            </w:r>
          </w:p>
        </w:tc>
        <w:tc>
          <w:tcPr/>
          <w:p>
            <w:pPr>
              <w:pStyle w:val="Compact"/>
              <w:jc w:val="left"/>
            </w:pPr>
            <w:r>
              <w:t xml:space="preserve">database.table</w:t>
            </w:r>
          </w:p>
        </w:tc>
        <w:tc>
          <w:tcPr/>
          <w:p>
            <w:pPr>
              <w:pStyle w:val="Compact"/>
              <w:jc w:val="left"/>
            </w:pPr>
            <w:r>
              <w:rPr>
                <w:rStyle w:val="VerbatimChar"/>
              </w:rPr>
              <w:t xml:space="preserve">CanonicalTable</w:t>
            </w:r>
          </w:p>
        </w:tc>
      </w:tr>
      <w:tr>
        <w:tc>
          <w:tcPr/>
          <w:p>
            <w:pPr>
              <w:pStyle w:val="Compact"/>
              <w:jc w:val="left"/>
            </w:pPr>
            <w:r>
              <w:t xml:space="preserve">Snowflake</w:t>
            </w:r>
          </w:p>
        </w:tc>
        <w:tc>
          <w:tcPr/>
          <w:p>
            <w:pPr>
              <w:pStyle w:val="Compact"/>
              <w:jc w:val="left"/>
            </w:pPr>
            <w:r>
              <w:t xml:space="preserve">schema.table</w:t>
            </w:r>
          </w:p>
        </w:tc>
        <w:tc>
          <w:tcPr/>
          <w:p>
            <w:pPr>
              <w:pStyle w:val="Compact"/>
              <w:jc w:val="left"/>
            </w:pPr>
            <w:r>
              <w:rPr>
                <w:rStyle w:val="VerbatimChar"/>
              </w:rPr>
              <w:t xml:space="preserve">CanonicalTable</w:t>
            </w:r>
          </w:p>
        </w:tc>
      </w:tr>
    </w:tbl>
    <w:bookmarkEnd w:id="22"/>
    <w:bookmarkEnd w:id="23"/>
    <w:bookmarkStart w:id="27" w:name="implementation"/>
    <w:p>
      <w:pPr>
        <w:pStyle w:val="Heading1"/>
      </w:pPr>
      <w:r>
        <w:t xml:space="preserve">Implementation</w:t>
      </w:r>
    </w:p>
    <w:p>
      <w:pPr>
        <w:pStyle w:val="CaptionedFigure"/>
      </w:pPr>
      <w:r>
        <w:drawing>
          <wp:inline>
            <wp:extent cx="5334000" cy="3556000"/>
            <wp:effectExtent b="0" l="0" r="0" t="0"/>
            <wp:docPr descr="OpenLakehouse architecture. AI agents communicate through a single MCP interface backed by the CLM. Platform adapters translate native metadata and query results into canonical models, while policy evaluation occurs before adapter invocation to enforce consistent governance across all supported platforms." title="" id="25" name="Picture"/>
            <a:graphic>
              <a:graphicData uri="http://schemas.openxmlformats.org/drawingml/2006/picture">
                <pic:pic>
                  <pic:nvPicPr>
                    <pic:cNvPr descr="Figure1_clm_architecture.png" id="26" name="Picture"/>
                    <pic:cNvPicPr>
                      <a:picLocks noChangeArrowheads="1" noChangeAspect="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OpenLakehouse architecture. AI agents communicate through a single MCP interface</w:t>
      </w:r>
      <w:r>
        <w:t xml:space="preserve"> </w:t>
      </w:r>
      <w:r>
        <w:t xml:space="preserve">backed by the CLM. Platform adapters translate native metadata and query results into</w:t>
      </w:r>
      <w:r>
        <w:t xml:space="preserve"> </w:t>
      </w:r>
      <w:r>
        <w:t xml:space="preserve">canonical models, while policy evaluation occurs before adapter invocation to enforce</w:t>
      </w:r>
      <w:r>
        <w:t xml:space="preserve"> </w:t>
      </w:r>
      <w:r>
        <w:t xml:space="preserve">consistent governance across all supported</w:t>
      </w:r>
      <w:r>
        <w:t xml:space="preserve"> </w:t>
      </w:r>
      <w:r>
        <w:t xml:space="preserve">platforms.</w:t>
      </w:r>
    </w:p>
    <w:p>
      <w:pPr>
        <w:pStyle w:val="BodyText"/>
      </w:pPr>
      <w:r>
        <w:t xml:space="preserve">OpenLakehouse is implemented across five packages —</w:t>
      </w:r>
      <w:r>
        <w:t xml:space="preserve"> </w:t>
      </w:r>
      <w:r>
        <w:rPr>
          <w:rStyle w:val="VerbatimChar"/>
        </w:rPr>
        <w:t xml:space="preserve">core</w:t>
      </w:r>
      <w:r>
        <w:t xml:space="preserve">,</w:t>
      </w:r>
      <w:r>
        <w:t xml:space="preserve"> </w:t>
      </w:r>
      <w:r>
        <w:rPr>
          <w:rStyle w:val="VerbatimChar"/>
        </w:rPr>
        <w:t xml:space="preserve">adapters</w:t>
      </w:r>
      <w:r>
        <w:t xml:space="preserve">,</w:t>
      </w:r>
      <w:r>
        <w:t xml:space="preserve"> </w:t>
      </w:r>
      <w:r>
        <w:rPr>
          <w:rStyle w:val="VerbatimChar"/>
        </w:rPr>
        <w:t xml:space="preserve">policy</w:t>
      </w:r>
      <w:r>
        <w:t xml:space="preserve">,</w:t>
      </w:r>
      <w:r>
        <w:t xml:space="preserve"> </w:t>
      </w:r>
      <w:r>
        <w:rPr>
          <w:rStyle w:val="VerbatimChar"/>
        </w:rPr>
        <w:t xml:space="preserve">identity</w:t>
      </w:r>
      <w:r>
        <w:t xml:space="preserve">, and</w:t>
      </w:r>
      <w:r>
        <w:t xml:space="preserve"> </w:t>
      </w:r>
      <w:r>
        <w:rPr>
          <w:rStyle w:val="VerbatimChar"/>
        </w:rPr>
        <w:t xml:space="preserve">server</w:t>
      </w:r>
      <w:r>
        <w:t xml:space="preserve"> </w:t>
      </w:r>
      <w:r>
        <w:t xml:space="preserve">— wired together via FastMCP</w:t>
      </w:r>
      <w:r>
        <w:t xml:space="preserve"> </w:t>
      </w:r>
      <w:r>
        <w:t xml:space="preserve">(Lowin 2024)</w:t>
      </w:r>
      <w:r>
        <w:t xml:space="preserve">. The key design</w:t>
      </w:r>
      <w:r>
        <w:t xml:space="preserve"> </w:t>
      </w:r>
      <w:r>
        <w:t xml:space="preserve">invariant is that the policy engine evaluates every request against a canonical</w:t>
      </w:r>
      <w:r>
        <w:t xml:space="preserve"> </w:t>
      </w:r>
      <w:r>
        <w:t xml:space="preserve">resource scope before any adapter method is called, ensuring governance cannot be</w:t>
      </w:r>
      <w:r>
        <w:t xml:space="preserve"> </w:t>
      </w:r>
      <w:r>
        <w:t xml:space="preserve">bypassed regardless of which platform is targeted.</w:t>
      </w:r>
    </w:p>
    <w:bookmarkEnd w:id="27"/>
    <w:bookmarkStart w:id="28" w:name="demonstration"/>
    <w:p>
      <w:pPr>
        <w:pStyle w:val="Heading1"/>
      </w:pPr>
      <w:r>
        <w:t xml:space="preserve">Demonstration</w:t>
      </w:r>
    </w:p>
    <w:p>
      <w:pPr>
        <w:pStyle w:val="FirstParagraph"/>
      </w:pPr>
      <w:r>
        <w:t xml:space="preserve">The</w:t>
      </w:r>
      <w:r>
        <w:t xml:space="preserve"> </w:t>
      </w:r>
      <w:r>
        <w:rPr>
          <w:rStyle w:val="VerbatimChar"/>
        </w:rPr>
        <w:t xml:space="preserve">experiments/canonical_interface_demo.py</w:t>
      </w:r>
      <w:r>
        <w:t xml:space="preserve"> </w:t>
      </w:r>
      <w:r>
        <w:t xml:space="preserve">script issues the same</w:t>
      </w:r>
      <w:r>
        <w:t xml:space="preserve"> </w:t>
      </w:r>
      <w:r>
        <w:rPr>
          <w:rStyle w:val="VerbatimChar"/>
        </w:rPr>
        <w:t xml:space="preserve">run_query</w:t>
      </w:r>
      <w:r>
        <w:t xml:space="preserve"> </w:t>
      </w:r>
      <w:r>
        <w:t xml:space="preserve">MCP</w:t>
      </w:r>
      <w:r>
        <w:t xml:space="preserve"> </w:t>
      </w:r>
      <w:r>
        <w:t xml:space="preserve">tool invocation against Databricks, AWS Athena, and a Snowflake stub, then compares</w:t>
      </w:r>
      <w:r>
        <w:t xml:space="preserve"> </w:t>
      </w:r>
      <w:r>
        <w:t xml:space="preserve">the resulting</w:t>
      </w:r>
      <w:r>
        <w:t xml:space="preserve"> </w:t>
      </w:r>
      <w:r>
        <w:rPr>
          <w:rStyle w:val="VerbatimChar"/>
        </w:rPr>
        <w:t xml:space="preserve">CanonicalQueryResult</w:t>
      </w:r>
      <w:r>
        <w:t xml:space="preserve"> </w:t>
      </w:r>
      <w:r>
        <w:t xml:space="preserve">objects. The invocation is identical for every</w:t>
      </w:r>
      <w:r>
        <w:t xml:space="preserve"> </w:t>
      </w:r>
      <w:r>
        <w:t xml:space="preserve">platform:</w:t>
      </w:r>
    </w:p>
    <w:p>
      <w:pPr>
        <w:pStyle w:val="SourceCode"/>
      </w:pPr>
      <w:r>
        <w:rPr>
          <w:rStyle w:val="NormalTok"/>
        </w:rPr>
        <w:t xml:space="preserve">raw    </w:t>
      </w:r>
      <w:r>
        <w:rPr>
          <w:rStyle w:val="OperatorTok"/>
        </w:rPr>
        <w:t xml:space="preserve">=</w:t>
      </w:r>
      <w:r>
        <w:rPr>
          <w:rStyle w:val="NormalTok"/>
        </w:rPr>
        <w:t xml:space="preserve"> adapter.execute_query(</w:t>
      </w:r>
      <w:r>
        <w:rPr>
          <w:rStyle w:val="StringTok"/>
        </w:rPr>
        <w:t xml:space="preserve">"SELECT 1 AS n"</w:t>
      </w:r>
      <w:r>
        <w:rPr>
          <w:rStyle w:val="NormalTok"/>
        </w:rPr>
        <w:t xml:space="preserve">, catalog</w:t>
      </w:r>
      <w:r>
        <w:rPr>
          <w:rStyle w:val="OperatorTok"/>
        </w:rPr>
        <w:t xml:space="preserve">=</w:t>
      </w:r>
      <w:r>
        <w:rPr>
          <w:rStyle w:val="NormalTok"/>
        </w:rPr>
        <w:t xml:space="preserve">catalog, schema</w:t>
      </w:r>
      <w:r>
        <w:rPr>
          <w:rStyle w:val="OperatorTok"/>
        </w:rPr>
        <w:t xml:space="preserve">=</w:t>
      </w:r>
      <w:r>
        <w:rPr>
          <w:rStyle w:val="NormalTok"/>
        </w:rPr>
        <w:t xml:space="preserve">schema)</w:t>
      </w:r>
      <w:r>
        <w:br/>
      </w:r>
      <w:r>
        <w:rPr>
          <w:rStyle w:val="NormalTok"/>
        </w:rPr>
        <w:t xml:space="preserve">result </w:t>
      </w:r>
      <w:r>
        <w:rPr>
          <w:rStyle w:val="OperatorTok"/>
        </w:rPr>
        <w:t xml:space="preserve">=</w:t>
      </w:r>
      <w:r>
        <w:rPr>
          <w:rStyle w:val="NormalTok"/>
        </w:rPr>
        <w:t xml:space="preserve"> query_result_to_canonical(raw, adapter.name, adapter.platform)</w:t>
      </w:r>
      <w:r>
        <w:br/>
      </w:r>
      <w:r>
        <w:rPr>
          <w:rStyle w:val="CommentTok"/>
        </w:rPr>
        <w:t xml:space="preserve"># result: CanonicalQueryResult — same four-field envelope for all platforms</w:t>
      </w:r>
    </w:p>
    <w:p>
      <w:pPr>
        <w:pStyle w:val="FirstParagraph"/>
      </w:pPr>
      <w:r>
        <w:t xml:space="preserve">Table 1 shows the output. The first five fields are structurally identical across</w:t>
      </w:r>
      <w:r>
        <w:t xml:space="preserve"> </w:t>
      </w:r>
      <w:r>
        <w:t xml:space="preserve">platforms; the final two carry expected per-platform values within the same canonical</w:t>
      </w:r>
      <w:r>
        <w:t xml:space="preserve"> </w:t>
      </w:r>
      <w:r>
        <w:t xml:space="preserve">envelope.</w:t>
      </w:r>
    </w:p>
    <w:p>
      <w:pPr>
        <w:pStyle w:val="TableCaption"/>
      </w:pPr>
      <w:r>
        <w:rPr>
          <w:rStyle w:val="VerbatimChar"/>
        </w:rPr>
        <w:t xml:space="preserve">query_id=null</w:t>
      </w:r>
      <w:r>
        <w:t xml:space="preserve"> </w:t>
      </w:r>
      <w:r>
        <w:t xml:space="preserve">for Databricks reflects a v1 connector limitation; the field is</w:t>
      </w:r>
      <w:r>
        <w:t xml:space="preserve"> </w:t>
      </w:r>
      <w:r>
        <w:t xml:space="preserve">present in the schema. Athena returns scalar values as strings (</w:t>
      </w:r>
      <w:r>
        <w:rPr>
          <w:rStyle w:val="VerbatimChar"/>
        </w:rPr>
        <w:t xml:space="preserve">"1"</w:t>
      </w:r>
      <w:r>
        <w:t xml:space="preserve"> </w:t>
      </w:r>
      <w:r>
        <w:t xml:space="preserve">rather than</w:t>
      </w:r>
      <w:r>
        <w:t xml:space="preserve"> </w:t>
      </w:r>
      <w:r>
        <w:rPr>
          <w:rStyle w:val="VerbatimChar"/>
        </w:rPr>
        <w:t xml:space="preserve">1</w:t>
      </w:r>
      <w:r>
        <w:t xml:space="preserve">); coercion is outside the CLM v1 scope.</w:t>
      </w:r>
    </w:p>
    <w:tbl>
      <w:tblPr>
        <w:tblStyle w:val="Table"/>
        <w:tblW w:type="pct" w:w="5000"/>
        <w:tblLook w:firstRow="1" w:lastRow="0" w:firstColumn="0" w:lastColumn="0" w:noHBand="0" w:noVBand="0" w:val="0020"/>
        <w:jc w:val="start"/>
        <w:tblCaption w:val="query_id=null for Databricks reflects a v1 connector limitation; the field is present in the schema. Athena returns scalar values as strings (&quot;1&quot; rather than 1); coercion is outside the CLM v1 scope."/>
      </w:tblPr>
      <w:tblGrid>
        <w:gridCol w:w="2511"/>
        <w:gridCol w:w="1835"/>
        <w:gridCol w:w="1835"/>
        <w:gridCol w:w="1738"/>
      </w:tblGrid>
      <w:tr>
        <w:trPr>
          <w:tblHeader w:val="true"/>
        </w:trPr>
        <w:tc>
          <w:tcPr/>
          <w:p>
            <w:pPr>
              <w:pStyle w:val="Compact"/>
              <w:jc w:val="left"/>
            </w:pPr>
            <w:r>
              <w:t xml:space="preserve">Field</w:t>
            </w:r>
          </w:p>
        </w:tc>
        <w:tc>
          <w:tcPr/>
          <w:p>
            <w:pPr>
              <w:pStyle w:val="Compact"/>
              <w:jc w:val="center"/>
            </w:pPr>
            <w:r>
              <w:t xml:space="preserve">Databricks (live)</w:t>
            </w:r>
          </w:p>
        </w:tc>
        <w:tc>
          <w:tcPr/>
          <w:p>
            <w:pPr>
              <w:pStyle w:val="Compact"/>
              <w:jc w:val="center"/>
            </w:pPr>
            <w:r>
              <w:t xml:space="preserve">AWS Athena (live)</w:t>
            </w:r>
          </w:p>
        </w:tc>
        <w:tc>
          <w:tcPr/>
          <w:p>
            <w:pPr>
              <w:pStyle w:val="Compact"/>
              <w:jc w:val="center"/>
            </w:pPr>
            <w:r>
              <w:t xml:space="preserve">Snowflake (stub)</w:t>
            </w:r>
          </w:p>
        </w:tc>
      </w:tr>
      <w:tr>
        <w:tc>
          <w:tcPr/>
          <w:p>
            <w:pPr>
              <w:pStyle w:val="Compact"/>
              <w:jc w:val="left"/>
            </w:pPr>
            <w:r>
              <w:rPr>
                <w:rStyle w:val="VerbatimChar"/>
              </w:rPr>
              <w:t xml:space="preserve">columns[0].name</w:t>
            </w:r>
          </w:p>
        </w:tc>
        <w:tc>
          <w:tcPr/>
          <w:p>
            <w:pPr>
              <w:pStyle w:val="Compact"/>
              <w:jc w:val="center"/>
            </w:pPr>
            <w:r>
              <w:rPr>
                <w:rStyle w:val="VerbatimChar"/>
              </w:rPr>
              <w:t xml:space="preserve">"n"</w:t>
            </w:r>
          </w:p>
        </w:tc>
        <w:tc>
          <w:tcPr/>
          <w:p>
            <w:pPr>
              <w:pStyle w:val="Compact"/>
              <w:jc w:val="center"/>
            </w:pPr>
            <w:r>
              <w:rPr>
                <w:rStyle w:val="VerbatimChar"/>
              </w:rPr>
              <w:t xml:space="preserve">"n"</w:t>
            </w:r>
          </w:p>
        </w:tc>
        <w:tc>
          <w:tcPr/>
          <w:p>
            <w:pPr>
              <w:pStyle w:val="Compact"/>
              <w:jc w:val="center"/>
            </w:pPr>
            <w:r>
              <w:rPr>
                <w:rStyle w:val="VerbatimChar"/>
              </w:rPr>
              <w:t xml:space="preserve">"n"</w:t>
            </w:r>
          </w:p>
        </w:tc>
      </w:tr>
      <w:tr>
        <w:tc>
          <w:tcPr/>
          <w:p>
            <w:pPr>
              <w:pStyle w:val="Compact"/>
              <w:jc w:val="left"/>
            </w:pPr>
            <w:r>
              <w:rPr>
                <w:rStyle w:val="VerbatimChar"/>
              </w:rPr>
              <w:t xml:space="preserve">columns[0].data_type</w:t>
            </w:r>
          </w:p>
        </w:tc>
        <w:tc>
          <w:tcPr/>
          <w:p>
            <w:pPr>
              <w:pStyle w:val="Compact"/>
              <w:jc w:val="center"/>
            </w:pPr>
            <w:r>
              <w:rPr>
                <w:rStyle w:val="VerbatimChar"/>
              </w:rPr>
              <w:t xml:space="preserve">INTEGER</w:t>
            </w:r>
          </w:p>
        </w:tc>
        <w:tc>
          <w:tcPr/>
          <w:p>
            <w:pPr>
              <w:pStyle w:val="Compact"/>
              <w:jc w:val="center"/>
            </w:pPr>
            <w:r>
              <w:rPr>
                <w:rStyle w:val="VerbatimChar"/>
              </w:rPr>
              <w:t xml:space="preserve">INTEGER</w:t>
            </w:r>
          </w:p>
        </w:tc>
        <w:tc>
          <w:tcPr/>
          <w:p>
            <w:pPr>
              <w:pStyle w:val="Compact"/>
              <w:jc w:val="center"/>
            </w:pPr>
            <w:r>
              <w:rPr>
                <w:rStyle w:val="VerbatimChar"/>
              </w:rPr>
              <w:t xml:space="preserve">INTEGER</w:t>
            </w:r>
          </w:p>
        </w:tc>
      </w:tr>
      <w:tr>
        <w:tc>
          <w:tcPr/>
          <w:p>
            <w:pPr>
              <w:pStyle w:val="Compact"/>
              <w:jc w:val="left"/>
            </w:pPr>
            <w:r>
              <w:rPr>
                <w:rStyle w:val="VerbatimChar"/>
              </w:rPr>
              <w:t xml:space="preserve">rows[0]</w:t>
            </w:r>
          </w:p>
        </w:tc>
        <w:tc>
          <w:tcPr/>
          <w:p>
            <w:pPr>
              <w:pStyle w:val="Compact"/>
              <w:jc w:val="center"/>
            </w:pPr>
            <w:r>
              <w:rPr>
                <w:rStyle w:val="VerbatimChar"/>
              </w:rPr>
              <w:t xml:space="preserve">[1]</w:t>
            </w:r>
          </w:p>
        </w:tc>
        <w:tc>
          <w:tcPr/>
          <w:p>
            <w:pPr>
              <w:pStyle w:val="Compact"/>
              <w:jc w:val="center"/>
            </w:pPr>
            <w:r>
              <w:rPr>
                <w:rStyle w:val="VerbatimChar"/>
              </w:rPr>
              <w:t xml:space="preserve">["1"]</w:t>
            </w:r>
          </w:p>
        </w:tc>
        <w:tc>
          <w:tcPr/>
          <w:p>
            <w:pPr>
              <w:pStyle w:val="Compact"/>
              <w:jc w:val="center"/>
            </w:pPr>
            <w:r>
              <w:rPr>
                <w:rStyle w:val="VerbatimChar"/>
              </w:rPr>
              <w:t xml:space="preserve">[1]</w:t>
            </w:r>
          </w:p>
        </w:tc>
      </w:tr>
      <w:tr>
        <w:tc>
          <w:tcPr/>
          <w:p>
            <w:pPr>
              <w:pStyle w:val="Compact"/>
              <w:jc w:val="left"/>
            </w:pPr>
            <w:r>
              <w:rPr>
                <w:rStyle w:val="VerbatimChar"/>
              </w:rPr>
              <w:t xml:space="preserve">pagination.row_count</w:t>
            </w:r>
          </w:p>
        </w:tc>
        <w:tc>
          <w:tcPr/>
          <w:p>
            <w:pPr>
              <w:pStyle w:val="Compact"/>
              <w:jc w:val="center"/>
            </w:pPr>
            <w:r>
              <w:rPr>
                <w:rStyle w:val="VerbatimChar"/>
              </w:rPr>
              <w:t xml:space="preserve">1</w:t>
            </w:r>
          </w:p>
        </w:tc>
        <w:tc>
          <w:tcPr/>
          <w:p>
            <w:pPr>
              <w:pStyle w:val="Compact"/>
              <w:jc w:val="center"/>
            </w:pPr>
            <w:r>
              <w:rPr>
                <w:rStyle w:val="VerbatimChar"/>
              </w:rPr>
              <w:t xml:space="preserve">1</w:t>
            </w:r>
          </w:p>
        </w:tc>
        <w:tc>
          <w:tcPr/>
          <w:p>
            <w:pPr>
              <w:pStyle w:val="Compact"/>
              <w:jc w:val="center"/>
            </w:pPr>
            <w:r>
              <w:rPr>
                <w:rStyle w:val="VerbatimChar"/>
              </w:rPr>
              <w:t xml:space="preserve">1</w:t>
            </w:r>
          </w:p>
        </w:tc>
      </w:tr>
      <w:tr>
        <w:tc>
          <w:tcPr/>
          <w:p>
            <w:pPr>
              <w:pStyle w:val="Compact"/>
              <w:jc w:val="left"/>
            </w:pPr>
            <w:r>
              <w:rPr>
                <w:rStyle w:val="VerbatimChar"/>
              </w:rPr>
              <w:t xml:space="preserve">pagination.truncated</w:t>
            </w:r>
          </w:p>
        </w:tc>
        <w:tc>
          <w:tcPr/>
          <w:p>
            <w:pPr>
              <w:pStyle w:val="Compact"/>
              <w:jc w:val="center"/>
            </w:pPr>
            <w:r>
              <w:rPr>
                <w:rStyle w:val="VerbatimChar"/>
              </w:rPr>
              <w:t xml:space="preserve">False</w:t>
            </w:r>
          </w:p>
        </w:tc>
        <w:tc>
          <w:tcPr/>
          <w:p>
            <w:pPr>
              <w:pStyle w:val="Compact"/>
              <w:jc w:val="center"/>
            </w:pPr>
            <w:r>
              <w:rPr>
                <w:rStyle w:val="VerbatimChar"/>
              </w:rPr>
              <w:t xml:space="preserve">False</w:t>
            </w:r>
          </w:p>
        </w:tc>
        <w:tc>
          <w:tcPr/>
          <w:p>
            <w:pPr>
              <w:pStyle w:val="Compact"/>
              <w:jc w:val="center"/>
            </w:pPr>
            <w:r>
              <w:rPr>
                <w:rStyle w:val="VerbatimChar"/>
              </w:rPr>
              <w:t xml:space="preserve">False</w:t>
            </w:r>
          </w:p>
        </w:tc>
      </w:tr>
      <w:tr>
        <w:tc>
          <w:tcPr/>
          <w:p>
            <w:pPr>
              <w:pStyle w:val="Compact"/>
              <w:jc w:val="left"/>
            </w:pPr>
            <w:r>
              <w:rPr>
                <w:rStyle w:val="VerbatimChar"/>
              </w:rPr>
              <w:t xml:space="preserve">execution.platform</w:t>
            </w:r>
          </w:p>
        </w:tc>
        <w:tc>
          <w:tcPr/>
          <w:p>
            <w:pPr>
              <w:pStyle w:val="Compact"/>
              <w:jc w:val="center"/>
            </w:pPr>
            <w:r>
              <w:rPr>
                <w:rStyle w:val="VerbatimChar"/>
              </w:rPr>
              <w:t xml:space="preserve">"databricks"</w:t>
            </w:r>
          </w:p>
        </w:tc>
        <w:tc>
          <w:tcPr/>
          <w:p>
            <w:pPr>
              <w:pStyle w:val="Compact"/>
              <w:jc w:val="center"/>
            </w:pPr>
            <w:r>
              <w:rPr>
                <w:rStyle w:val="VerbatimChar"/>
              </w:rPr>
              <w:t xml:space="preserve">"aws"</w:t>
            </w:r>
          </w:p>
        </w:tc>
        <w:tc>
          <w:tcPr/>
          <w:p>
            <w:pPr>
              <w:pStyle w:val="Compact"/>
              <w:jc w:val="center"/>
            </w:pPr>
            <w:r>
              <w:rPr>
                <w:rStyle w:val="VerbatimChar"/>
              </w:rPr>
              <w:t xml:space="preserve">"snowflake"</w:t>
            </w:r>
          </w:p>
        </w:tc>
      </w:tr>
      <w:tr>
        <w:tc>
          <w:tcPr/>
          <w:p>
            <w:pPr>
              <w:pStyle w:val="Compact"/>
              <w:jc w:val="left"/>
            </w:pPr>
            <w:r>
              <w:rPr>
                <w:rStyle w:val="VerbatimChar"/>
              </w:rPr>
              <w:t xml:space="preserve">execution.query_id</w:t>
            </w:r>
          </w:p>
        </w:tc>
        <w:tc>
          <w:tcPr/>
          <w:p>
            <w:pPr>
              <w:pStyle w:val="Compact"/>
              <w:jc w:val="center"/>
            </w:pPr>
            <w:r>
              <w:rPr>
                <w:rStyle w:val="VerbatimChar"/>
              </w:rPr>
              <w:t xml:space="preserve">null</w:t>
            </w:r>
          </w:p>
        </w:tc>
        <w:tc>
          <w:tcPr/>
          <w:p>
            <w:pPr>
              <w:pStyle w:val="Compact"/>
              <w:jc w:val="center"/>
            </w:pPr>
            <w:r>
              <w:t xml:space="preserve">UUID</w:t>
            </w:r>
          </w:p>
        </w:tc>
        <w:tc>
          <w:tcPr/>
          <w:p>
            <w:pPr>
              <w:pStyle w:val="Compact"/>
              <w:jc w:val="center"/>
            </w:pPr>
            <w:r>
              <w:rPr>
                <w:rStyle w:val="VerbatimChar"/>
              </w:rPr>
              <w:t xml:space="preserve">null</w:t>
            </w:r>
          </w:p>
        </w:tc>
      </w:tr>
    </w:tbl>
    <w:p>
      <w:pPr>
        <w:pStyle w:val="BodyText"/>
      </w:pPr>
      <w:r>
        <w:t xml:space="preserve">The Snowflake stub was created without modifying any core module, confirming that the</w:t>
      </w:r>
      <w:r>
        <w:t xml:space="preserve"> </w:t>
      </w:r>
      <w:r>
        <w:t xml:space="preserve">adapter interface supports extension without affecting existing behavior.</w:t>
      </w:r>
    </w:p>
    <w:bookmarkEnd w:id="28"/>
    <w:bookmarkStart w:id="29" w:name="testing-and-validation"/>
    <w:p>
      <w:pPr>
        <w:pStyle w:val="Heading1"/>
      </w:pPr>
      <w:r>
        <w:t xml:space="preserve">Testing and Validation</w:t>
      </w:r>
    </w:p>
    <w:p>
      <w:pPr>
        <w:pStyle w:val="FirstParagraph"/>
      </w:pPr>
      <w:r>
        <w:t xml:space="preserve">The package includes 89 unit tests requiring no live cloud credentials. AWS tests run</w:t>
      </w:r>
      <w:r>
        <w:t xml:space="preserve"> </w:t>
      </w:r>
      <w:r>
        <w:t xml:space="preserve">against moto</w:t>
      </w:r>
      <w:r>
        <w:t xml:space="preserve"> </w:t>
      </w:r>
      <w:r>
        <w:t xml:space="preserve">(Moto Contributors 2024)</w:t>
      </w:r>
      <w:r>
        <w:t xml:space="preserve">, an in-memory Glue/Athena mock; Databricks tests use</w:t>
      </w:r>
      <w:r>
        <w:t xml:space="preserve"> </w:t>
      </w:r>
      <w:r>
        <w:rPr>
          <w:rStyle w:val="VerbatimChar"/>
        </w:rPr>
        <w:t xml:space="preserve">pytest-mock</w:t>
      </w:r>
      <w:r>
        <w:t xml:space="preserve"> </w:t>
      </w:r>
      <w:r>
        <w:t xml:space="preserve">to patch</w:t>
      </w:r>
      <w:r>
        <w:t xml:space="preserve"> </w:t>
      </w:r>
      <w:r>
        <w:rPr>
          <w:rStyle w:val="VerbatimChar"/>
        </w:rPr>
        <w:t xml:space="preserve">WorkspaceClient</w:t>
      </w:r>
      <w:r>
        <w:t xml:space="preserve"> </w:t>
      </w:r>
      <w:r>
        <w:t xml:space="preserve">and</w:t>
      </w:r>
      <w:r>
        <w:t xml:space="preserve"> </w:t>
      </w:r>
      <w:r>
        <w:rPr>
          <w:rStyle w:val="VerbatimChar"/>
        </w:rPr>
        <w:t xml:space="preserve">databricks.sql.connect</w:t>
      </w:r>
      <w:r>
        <w:t xml:space="preserve">. The suite</w:t>
      </w:r>
      <w:r>
        <w:t xml:space="preserve"> </w:t>
      </w:r>
      <w:r>
        <w:rPr>
          <w:rStyle w:val="VerbatimChar"/>
        </w:rPr>
        <w:t xml:space="preserve">tests/unit/test_tools.py</w:t>
      </w:r>
      <w:r>
        <w:t xml:space="preserve"> </w:t>
      </w:r>
      <w:r>
        <w:t xml:space="preserve">verifies the policy-before-adapter invariant: for each</w:t>
      </w:r>
      <w:r>
        <w:t xml:space="preserve"> </w:t>
      </w:r>
      <w:r>
        <w:t xml:space="preserve">denied scenario, a mock adapter asserts none of its methods are called.</w:t>
      </w:r>
    </w:p>
    <w:p>
      <w:pPr>
        <w:pStyle w:val="BodyText"/>
      </w:pPr>
      <w:r>
        <w:t xml:space="preserve">Five validation experiments in</w:t>
      </w:r>
      <w:r>
        <w:t xml:space="preserve"> </w:t>
      </w:r>
      <w:r>
        <w:rPr>
          <w:rStyle w:val="VerbatimChar"/>
        </w:rPr>
        <w:t xml:space="preserve">evaluation/</w:t>
      </w:r>
      <w:r>
        <w:t xml:space="preserve"> </w:t>
      </w:r>
      <w:r>
        <w:t xml:space="preserve">cover live Databricks and AWS</w:t>
      </w:r>
      <w:r>
        <w:t xml:space="preserve"> </w:t>
      </w:r>
      <w:r>
        <w:t xml:space="preserve">environments: metadata conformance (100%, 8/8 operations), query result shape</w:t>
      </w:r>
      <w:r>
        <w:t xml:space="preserve"> </w:t>
      </w:r>
      <w:r>
        <w:t xml:space="preserve">conformance (100%, 2/2 platforms), governance enforcement (100%, 8 authorization</w:t>
      </w:r>
      <w:r>
        <w:t xml:space="preserve"> </w:t>
      </w:r>
      <w:r>
        <w:t xml:space="preserve">scenarios), agent coupling reduction (2→1 endpoints, 2→0 platform branches in agent</w:t>
      </w:r>
      <w:r>
        <w:t xml:space="preserve"> </w:t>
      </w:r>
      <w:r>
        <w:t xml:space="preserve">code), and adapter extension (verified via the Snowflake stub).</w:t>
      </w:r>
    </w:p>
    <w:bookmarkEnd w:id="29"/>
    <w:bookmarkStart w:id="30" w:name="future-work"/>
    <w:p>
      <w:pPr>
        <w:pStyle w:val="Heading1"/>
      </w:pPr>
      <w:r>
        <w:t xml:space="preserve">Future Work</w:t>
      </w:r>
    </w:p>
    <w:p>
      <w:pPr>
        <w:pStyle w:val="FirstParagraph"/>
      </w:pPr>
      <w:r>
        <w:t xml:space="preserve">Planned adapters include Snowflake, Google BigQuery, Azure Fabric, and Apache Spark.</w:t>
      </w:r>
      <w:r>
        <w:t xml:space="preserve"> </w:t>
      </w:r>
      <w:r>
        <w:t xml:space="preserve">Planned features include semantic metadata discovery, lineage-aware context retrieval,</w:t>
      </w:r>
      <w:r>
        <w:t xml:space="preserve"> </w:t>
      </w:r>
      <w:r>
        <w:t xml:space="preserve">integration with enterprise identity providers (Azure Active Directory, Okta), and</w:t>
      </w:r>
      <w:r>
        <w:t xml:space="preserve"> </w:t>
      </w:r>
      <w:r>
        <w:t xml:space="preserve">fine-grained column-level access control with audit logging.</w:t>
      </w:r>
    </w:p>
    <w:bookmarkEnd w:id="30"/>
    <w:bookmarkStart w:id="31" w:name="acknowledgements"/>
    <w:p>
      <w:pPr>
        <w:pStyle w:val="Heading1"/>
      </w:pPr>
      <w:r>
        <w:t xml:space="preserve">Acknowledgements</w:t>
      </w:r>
    </w:p>
    <w:p>
      <w:pPr>
        <w:pStyle w:val="FirstParagraph"/>
      </w:pPr>
      <w:r>
        <w:t xml:space="preserve">The authors thank the developers and maintainers of FastMCP, Pydantic, moto, and the</w:t>
      </w:r>
      <w:r>
        <w:t xml:space="preserve"> </w:t>
      </w:r>
      <w:r>
        <w:t xml:space="preserve">Model Context Protocol ecosystem for the foundational libraries that made this work</w:t>
      </w:r>
      <w:r>
        <w:t xml:space="preserve"> </w:t>
      </w:r>
      <w:r>
        <w:t xml:space="preserve">possible.</w:t>
      </w:r>
    </w:p>
    <w:bookmarkEnd w:id="31"/>
    <w:bookmarkStart w:id="49" w:name="references"/>
    <w:p>
      <w:pPr>
        <w:pStyle w:val="Heading1"/>
      </w:pPr>
      <w:r>
        <w:t xml:space="preserve">References</w:t>
      </w:r>
    </w:p>
    <w:bookmarkStart w:id="48" w:name="refs"/>
    <w:bookmarkStart w:id="33" w:name="ref-awsglue2017"/>
    <w:p>
      <w:pPr>
        <w:pStyle w:val="Bibliography"/>
      </w:pPr>
      <w:r>
        <w:t xml:space="preserve">Amazon Web Services. 2017.</w:t>
      </w:r>
      <w:r>
        <w:t xml:space="preserve"> </w:t>
      </w:r>
      <w:r>
        <w:t xml:space="preserve">“</w:t>
      </w:r>
      <w:r>
        <w:t xml:space="preserve">AWS Glue</w:t>
      </w:r>
      <w:r>
        <w:t xml:space="preserve">: Serverless Data Integration Service.”</w:t>
      </w:r>
      <w:r>
        <w:t xml:space="preserve"> </w:t>
      </w:r>
      <w:hyperlink r:id="rId32">
        <w:r>
          <w:rPr>
            <w:rStyle w:val="Hyperlink"/>
          </w:rPr>
          <w:t xml:space="preserve">https://aws.amazon.com/glue/</w:t>
        </w:r>
      </w:hyperlink>
      <w:r>
        <w:t xml:space="preserve">.</w:t>
      </w:r>
    </w:p>
    <w:bookmarkEnd w:id="33"/>
    <w:bookmarkStart w:id="35" w:name="ref-anthropic2024mcp"/>
    <w:p>
      <w:pPr>
        <w:pStyle w:val="Bibliography"/>
      </w:pPr>
      <w:r>
        <w:t xml:space="preserve">Anthropic. 2024.</w:t>
      </w:r>
      <w:r>
        <w:t xml:space="preserve"> </w:t>
      </w:r>
      <w:r>
        <w:t xml:space="preserve">“Model Context Protocol Specification.”</w:t>
      </w:r>
      <w:r>
        <w:t xml:space="preserve"> </w:t>
      </w:r>
      <w:hyperlink r:id="rId34">
        <w:r>
          <w:rPr>
            <w:rStyle w:val="Hyperlink"/>
          </w:rPr>
          <w:t xml:space="preserve">https://modelcontextprotocol.io</w:t>
        </w:r>
      </w:hyperlink>
      <w:r>
        <w:t xml:space="preserve">.</w:t>
      </w:r>
    </w:p>
    <w:bookmarkEnd w:id="35"/>
    <w:bookmarkStart w:id="37" w:name="ref-armbrust2021lakehouse"/>
    <w:p>
      <w:pPr>
        <w:pStyle w:val="Bibliography"/>
      </w:pPr>
      <w:r>
        <w:t xml:space="preserve">Armbrust, Michael, Ali Ghodsi, Reynold Xin, and Matei Zaharia. 2021.</w:t>
      </w:r>
      <w:r>
        <w:t xml:space="preserve"> </w:t>
      </w:r>
      <w:r>
        <w:t xml:space="preserve">“Lakehouse: A New Generation of Open Platforms That Unify Data Warehousing and Advanced Analytics.”</w:t>
      </w:r>
      <w:r>
        <w:t xml:space="preserve"> </w:t>
      </w:r>
      <w:r>
        <w:t xml:space="preserve">In</w:t>
      </w:r>
      <w:r>
        <w:t xml:space="preserve"> </w:t>
      </w:r>
      <w:r>
        <w:rPr>
          <w:iCs/>
          <w:i/>
        </w:rPr>
        <w:t xml:space="preserve">11th Annual Conference on Innovative Data Systems Research (CIDR 2021)</w:t>
      </w:r>
      <w:r>
        <w:t xml:space="preserve">.</w:t>
      </w:r>
      <w:r>
        <w:t xml:space="preserve"> </w:t>
      </w:r>
      <w:hyperlink r:id="rId36">
        <w:r>
          <w:rPr>
            <w:rStyle w:val="Hyperlink"/>
          </w:rPr>
          <w:t xml:space="preserve">https://www.cidrdb.org/cidr2021/papers/cidr2021_paper17.pdf</w:t>
        </w:r>
      </w:hyperlink>
      <w:r>
        <w:t xml:space="preserve">.</w:t>
      </w:r>
    </w:p>
    <w:bookmarkEnd w:id="37"/>
    <w:bookmarkStart w:id="39" w:name="ref-pydantic2024"/>
    <w:p>
      <w:pPr>
        <w:pStyle w:val="Bibliography"/>
      </w:pPr>
      <w:r>
        <w:t xml:space="preserve">Colvin, Samuel, and Pydantic Contributors. 2024.</w:t>
      </w:r>
      <w:r>
        <w:t xml:space="preserve"> </w:t>
      </w:r>
      <w:r>
        <w:t xml:space="preserve">“Pydantic: Data Validation Using</w:t>
      </w:r>
      <w:r>
        <w:t xml:space="preserve"> </w:t>
      </w:r>
      <w:r>
        <w:t xml:space="preserve">Python</w:t>
      </w:r>
      <w:r>
        <w:t xml:space="preserve"> </w:t>
      </w:r>
      <w:r>
        <w:t xml:space="preserve">Type Hints.”</w:t>
      </w:r>
      <w:r>
        <w:t xml:space="preserve"> </w:t>
      </w:r>
      <w:hyperlink r:id="rId38">
        <w:r>
          <w:rPr>
            <w:rStyle w:val="Hyperlink"/>
          </w:rPr>
          <w:t xml:space="preserve">https://docs.pydantic.dev</w:t>
        </w:r>
      </w:hyperlink>
      <w:r>
        <w:t xml:space="preserve">.</w:t>
      </w:r>
    </w:p>
    <w:bookmarkEnd w:id="39"/>
    <w:bookmarkStart w:id="41" w:name="ref-databricks2023"/>
    <w:p>
      <w:pPr>
        <w:pStyle w:val="Bibliography"/>
      </w:pPr>
      <w:r>
        <w:t xml:space="preserve">Databricks. 2023.</w:t>
      </w:r>
      <w:r>
        <w:t xml:space="preserve"> </w:t>
      </w:r>
      <w:r>
        <w:t xml:space="preserve">“Unity Catalog: Fine-Grained Governance for the Lakehouse.”</w:t>
      </w:r>
      <w:r>
        <w:t xml:space="preserve"> </w:t>
      </w:r>
      <w:hyperlink r:id="rId40">
        <w:r>
          <w:rPr>
            <w:rStyle w:val="Hyperlink"/>
          </w:rPr>
          <w:t xml:space="preserve">https://www.databricks.com/product/unity-catalog</w:t>
        </w:r>
      </w:hyperlink>
      <w:r>
        <w:t xml:space="preserve">.</w:t>
      </w:r>
    </w:p>
    <w:bookmarkEnd w:id="41"/>
    <w:bookmarkStart w:id="43" w:name="ref-fastmcp2024"/>
    <w:p>
      <w:pPr>
        <w:pStyle w:val="Bibliography"/>
      </w:pPr>
      <w:r>
        <w:t xml:space="preserve">Lowin, Jonathan. 2024.</w:t>
      </w:r>
      <w:r>
        <w:t xml:space="preserve"> </w:t>
      </w:r>
      <w:r>
        <w:t xml:space="preserve">“</w:t>
      </w:r>
      <w:r>
        <w:t xml:space="preserve">FastMCP</w:t>
      </w:r>
      <w:r>
        <w:t xml:space="preserve">: The Fast, Pythonic Way to Build</w:t>
      </w:r>
      <w:r>
        <w:t xml:space="preserve"> </w:t>
      </w:r>
      <w:r>
        <w:t xml:space="preserve">MCP</w:t>
      </w:r>
      <w:r>
        <w:t xml:space="preserve"> </w:t>
      </w:r>
      <w:r>
        <w:t xml:space="preserve">Servers and Clients.”</w:t>
      </w:r>
      <w:r>
        <w:t xml:space="preserve"> </w:t>
      </w:r>
      <w:hyperlink r:id="rId42">
        <w:r>
          <w:rPr>
            <w:rStyle w:val="Hyperlink"/>
          </w:rPr>
          <w:t xml:space="preserve">https://github.com/jlowin/fastmcp</w:t>
        </w:r>
      </w:hyperlink>
      <w:r>
        <w:t xml:space="preserve">.</w:t>
      </w:r>
    </w:p>
    <w:bookmarkEnd w:id="43"/>
    <w:bookmarkStart w:id="45" w:name="ref-moto2024"/>
    <w:p>
      <w:pPr>
        <w:pStyle w:val="Bibliography"/>
      </w:pPr>
      <w:r>
        <w:t xml:space="preserve">Moto Contributors. 2024.</w:t>
      </w:r>
      <w:r>
        <w:t xml:space="preserve"> </w:t>
      </w:r>
      <w:r>
        <w:t xml:space="preserve">“Moto: Mock</w:t>
      </w:r>
      <w:r>
        <w:t xml:space="preserve"> </w:t>
      </w:r>
      <w:r>
        <w:t xml:space="preserve">AWS</w:t>
      </w:r>
      <w:r>
        <w:t xml:space="preserve"> </w:t>
      </w:r>
      <w:r>
        <w:t xml:space="preserve">Services.”</w:t>
      </w:r>
      <w:r>
        <w:t xml:space="preserve"> </w:t>
      </w:r>
      <w:hyperlink r:id="rId44">
        <w:r>
          <w:rPr>
            <w:rStyle w:val="Hyperlink"/>
          </w:rPr>
          <w:t xml:space="preserve">https://github.com/getmoto/moto</w:t>
        </w:r>
      </w:hyperlink>
      <w:r>
        <w:t xml:space="preserve">.</w:t>
      </w:r>
    </w:p>
    <w:bookmarkEnd w:id="45"/>
    <w:bookmarkStart w:id="47" w:name="ref-zaharia2016spark"/>
    <w:p>
      <w:pPr>
        <w:pStyle w:val="Bibliography"/>
      </w:pPr>
      <w:r>
        <w:t xml:space="preserve">Zaharia, Matei, Reynold S. Xin, Patrick Wendell, Tathagata Das, Michael Armbrust, Ankur Dave, Xiangrui Meng, et al. 2016.</w:t>
      </w:r>
      <w:r>
        <w:t xml:space="preserve"> </w:t>
      </w:r>
      <w:r>
        <w:t xml:space="preserve">“Apache</w:t>
      </w:r>
      <w:r>
        <w:t xml:space="preserve"> </w:t>
      </w:r>
      <w:r>
        <w:t xml:space="preserve">Spark</w:t>
      </w:r>
      <w:r>
        <w:t xml:space="preserve">: A Unified Engine for Big Data Processing.”</w:t>
      </w:r>
      <w:r>
        <w:t xml:space="preserve"> </w:t>
      </w:r>
      <w:r>
        <w:rPr>
          <w:iCs/>
          <w:i/>
        </w:rPr>
        <w:t xml:space="preserve">Communications of the ACM</w:t>
      </w:r>
      <w:r>
        <w:t xml:space="preserve"> </w:t>
      </w:r>
      <w:r>
        <w:t xml:space="preserve">59 (11): 56–65.</w:t>
      </w:r>
      <w:r>
        <w:t xml:space="preserve"> </w:t>
      </w:r>
      <w:hyperlink r:id="rId46">
        <w:r>
          <w:rPr>
            <w:rStyle w:val="Hyperlink"/>
          </w:rPr>
          <w:t xml:space="preserve">https://doi.org/10.1145/2934664</w:t>
        </w:r>
      </w:hyperlink>
      <w:r>
        <w:t xml:space="preserve">.</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32" Target="https://aws.amazon.com/glue/" TargetMode="External" /><Relationship Type="http://schemas.openxmlformats.org/officeDocument/2006/relationships/hyperlink" Id="rId38" Target="https://docs.pydantic.dev" TargetMode="External" /><Relationship Type="http://schemas.openxmlformats.org/officeDocument/2006/relationships/hyperlink" Id="rId46" Target="https://doi.org/10.1145/2934664" TargetMode="External" /><Relationship Type="http://schemas.openxmlformats.org/officeDocument/2006/relationships/hyperlink" Id="rId44" Target="https://github.com/getmoto/moto" TargetMode="External" /><Relationship Type="http://schemas.openxmlformats.org/officeDocument/2006/relationships/hyperlink" Id="rId42" Target="https://github.com/jlowin/fastmcp" TargetMode="External" /><Relationship Type="http://schemas.openxmlformats.org/officeDocument/2006/relationships/hyperlink" Id="rId34" Target="https://modelcontextprotocol.io" TargetMode="External" /><Relationship Type="http://schemas.openxmlformats.org/officeDocument/2006/relationships/hyperlink" Id="rId36" Target="https://www.cidrdb.org/cidr2021/papers/cidr2021_paper17.pdf" TargetMode="External" /><Relationship Type="http://schemas.openxmlformats.org/officeDocument/2006/relationships/hyperlink" Id="rId40" Target="https://www.databricks.com/product/unity-catalog" TargetMode="External" /></Relationships>
</file>

<file path=word/_rels/footnotes.xml.rels><?xml version="1.0" encoding="UTF-8"?><Relationships xmlns="http://schemas.openxmlformats.org/package/2006/relationships"><Relationship Type="http://schemas.openxmlformats.org/officeDocument/2006/relationships/hyperlink" Id="rId32" Target="https://aws.amazon.com/glue/" TargetMode="External" /><Relationship Type="http://schemas.openxmlformats.org/officeDocument/2006/relationships/hyperlink" Id="rId38" Target="https://docs.pydantic.dev" TargetMode="External" /><Relationship Type="http://schemas.openxmlformats.org/officeDocument/2006/relationships/hyperlink" Id="rId46" Target="https://doi.org/10.1145/2934664" TargetMode="External" /><Relationship Type="http://schemas.openxmlformats.org/officeDocument/2006/relationships/hyperlink" Id="rId44" Target="https://github.com/getmoto/moto" TargetMode="External" /><Relationship Type="http://schemas.openxmlformats.org/officeDocument/2006/relationships/hyperlink" Id="rId42" Target="https://github.com/jlowin/fastmcp" TargetMode="External" /><Relationship Type="http://schemas.openxmlformats.org/officeDocument/2006/relationships/hyperlink" Id="rId34" Target="https://modelcontextprotocol.io" TargetMode="External" /><Relationship Type="http://schemas.openxmlformats.org/officeDocument/2006/relationships/hyperlink" Id="rId36" Target="https://www.cidrdb.org/cidr2021/papers/cidr2021_paper17.pdf" TargetMode="External" /><Relationship Type="http://schemas.openxmlformats.org/officeDocument/2006/relationships/hyperlink" Id="rId40" Target="https://www.databricks.com/product/unity-catal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OpenLakehouse: A Canonical Interoperability Layer for AI Agent Access to Multi-Platform Lakehouse Data</dc:title>
  <dc:creator/>
  <cp:keywords/>
  <dcterms:created xsi:type="dcterms:W3CDTF">2026-07-06T16:53:08Z</dcterms:created>
  <dcterms:modified xsi:type="dcterms:W3CDTF">2026-07-06T16:53:08Z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paper/paper.bib</vt:lpwstr>
  </property>
  <property fmtid="{D5CDD505-2E9C-101B-9397-08002B2CF9AE}" pid="5" name="date">
    <vt:lpwstr>2026-07-06</vt:lpwstr>
  </property>
  <property fmtid="{D5CDD505-2E9C-101B-9397-08002B2CF9AE}" pid="6" name="tags">
    <vt:lpwstr/>
  </property>
</Properties>
</file>