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28"/>
        </w:rPr>
        <w:t>Institute of Actuaries of India</w:t>
        <w:br/>
      </w:r>
      <w:r>
        <w:rPr>
          <w:i/>
          <w:sz w:val="20"/>
        </w:rPr>
        <w:t>Statutory body established under an Act of Parliament</w:t>
        <w:br/>
      </w:r>
      <w:r>
        <w:rPr>
          <w:sz w:val="19"/>
        </w:rPr>
        <w:t>Unit No. F-206, 2nd Floor, F Wing, Tower II, Seawoods Grand Central,</w:t>
        <w:br/>
        <w:t>Plot no R-1, Sector 40, Nerul Road, Navi Mumbai - 400706</w:t>
        <w:br/>
        <w:t>+91 22 6243 3333  |  +91 22 6243 3322</w:t>
      </w:r>
    </w:p>
    <w:p/>
    <w:p>
      <w:pPr>
        <w:jc w:val="center"/>
      </w:pPr>
      <w:r>
        <w:rPr>
          <w:b/>
          <w:color w:val="003366"/>
          <w:sz w:val="30"/>
        </w:rPr>
        <w:t>Professional Conduct Standards (PCS)</w:t>
      </w:r>
    </w:p>
    <w:p/>
    <w:tbl>
      <w:tblPr>
        <w:tblW w:type="auto" w:w="0"/>
        <w:jc w:val="center"/>
        <w:tblLook w:firstColumn="1" w:firstRow="1" w:lastColumn="0" w:lastRow="0" w:noHBand="0" w:noVBand="1" w:val="04A0"/>
      </w:tblPr>
      <w:tblGrid>
        <w:gridCol w:w="4680"/>
        <w:gridCol w:w="4680"/>
      </w:tblGrid>
      <w:tr>
        <w:tc>
          <w:tcPr>
            <w:tcW w:type="dxa" w:w="4680"/>
          </w:tcPr>
          <w:p>
            <w:r>
              <w:rPr>
                <w:b/>
              </w:rPr>
              <w:t>Legislation or Authority:</w:t>
            </w:r>
          </w:p>
        </w:tc>
        <w:tc>
          <w:tcPr>
            <w:tcW w:type="dxa" w:w="4680"/>
          </w:tcPr>
          <w:p>
            <w:r>
              <w:t>Section 19 (2) (i) of the Actuaries Act 2006</w:t>
            </w:r>
          </w:p>
        </w:tc>
      </w:tr>
      <w:tr>
        <w:tc>
          <w:tcPr>
            <w:tcW w:type="dxa" w:w="4680"/>
          </w:tcPr>
          <w:p>
            <w:r>
              <w:rPr>
                <w:b/>
              </w:rPr>
              <w:t>Author:</w:t>
            </w:r>
          </w:p>
        </w:tc>
        <w:tc>
          <w:tcPr>
            <w:tcW w:type="dxa" w:w="4680"/>
          </w:tcPr>
          <w:p>
            <w:r>
              <w:t>The Council of the Institute of Actuaries of India</w:t>
            </w:r>
          </w:p>
        </w:tc>
      </w:tr>
      <w:tr>
        <w:tc>
          <w:tcPr>
            <w:tcW w:type="dxa" w:w="4680"/>
          </w:tcPr>
          <w:p>
            <w:r>
              <w:rPr>
                <w:b/>
              </w:rPr>
              <w:t>Application:</w:t>
            </w:r>
          </w:p>
        </w:tc>
        <w:tc>
          <w:tcPr>
            <w:tcW w:type="dxa" w:w="4680"/>
          </w:tcPr>
          <w:p>
            <w:r>
              <w:t>Professional Conduct Standards is applicable to all members of the Institute of Actuaries of India</w:t>
            </w:r>
          </w:p>
        </w:tc>
      </w:tr>
      <w:tr>
        <w:tc>
          <w:tcPr>
            <w:tcW w:type="dxa" w:w="4680"/>
          </w:tcPr>
          <w:p>
            <w:r>
              <w:rPr>
                <w:b/>
              </w:rPr>
              <w:t>Status:</w:t>
            </w:r>
          </w:p>
        </w:tc>
        <w:tc>
          <w:tcPr>
            <w:tcW w:type="dxa" w:w="4680"/>
          </w:tcPr>
          <w:p>
            <w:r>
              <w:t>Version 4.00 effective from 04/09/2021</w:t>
            </w:r>
          </w:p>
        </w:tc>
      </w:tr>
    </w:tbl>
    <w:p>
      <w:r>
        <w:br w:type="page"/>
      </w:r>
    </w:p>
    <w:p>
      <w:r>
        <w:rPr>
          <w:b/>
          <w:color w:val="003366"/>
          <w:sz w:val="28"/>
        </w:rPr>
        <w:t>TABLE OF CONTENTS</w:t>
      </w:r>
    </w:p>
    <w:tbl>
      <w:tblPr>
        <w:tblW w:type="auto" w:w="0"/>
        <w:tblLook w:firstColumn="1" w:firstRow="1" w:lastColumn="0" w:lastRow="0" w:noHBand="0" w:noVBand="1" w:val="04A0"/>
      </w:tblPr>
      <w:tblGrid>
        <w:gridCol w:w="4680"/>
        <w:gridCol w:w="4680"/>
      </w:tblGrid>
      <w:tr>
        <w:tc>
          <w:tcPr>
            <w:tcW w:type="dxa" w:w="4680"/>
          </w:tcPr>
          <w:p>
            <w:r>
              <w:rPr>
                <w:b/>
              </w:rPr>
              <w:t>1. General</w:t>
            </w:r>
          </w:p>
        </w:tc>
        <w:tc>
          <w:tcPr>
            <w:tcW w:type="dxa" w:w="4680"/>
          </w:tcPr>
          <w:p>
            <w:pPr>
              <w:jc w:val="right"/>
            </w:pPr>
            <w:r>
              <w:rPr>
                <w:b/>
              </w:rPr>
              <w:t>3</w:t>
            </w:r>
          </w:p>
        </w:tc>
      </w:tr>
      <w:tr>
        <w:tc>
          <w:tcPr>
            <w:tcW w:type="dxa" w:w="4680"/>
          </w:tcPr>
          <w:p>
            <w:r>
              <w:rPr>
                <w:b/>
              </w:rPr>
              <w:t>2. Professional Standards</w:t>
            </w:r>
          </w:p>
        </w:tc>
        <w:tc>
          <w:tcPr>
            <w:tcW w:type="dxa" w:w="4680"/>
          </w:tcPr>
          <w:p>
            <w:pPr>
              <w:jc w:val="right"/>
            </w:pPr>
            <w:r>
              <w:rPr>
                <w:b/>
              </w:rPr>
              <w:t>3</w:t>
            </w:r>
          </w:p>
        </w:tc>
      </w:tr>
      <w:tr>
        <w:tc>
          <w:tcPr>
            <w:tcW w:type="dxa" w:w="4680"/>
          </w:tcPr>
          <w:p>
            <w:r>
              <w:rPr>
                <w:b/>
              </w:rPr>
              <w:t>3. Confidentiality</w:t>
            </w:r>
          </w:p>
        </w:tc>
        <w:tc>
          <w:tcPr>
            <w:tcW w:type="dxa" w:w="4680"/>
          </w:tcPr>
          <w:p>
            <w:pPr>
              <w:jc w:val="right"/>
            </w:pPr>
            <w:r>
              <w:rPr>
                <w:b/>
              </w:rPr>
              <w:t>4</w:t>
            </w:r>
          </w:p>
        </w:tc>
      </w:tr>
      <w:tr>
        <w:tc>
          <w:tcPr>
            <w:tcW w:type="dxa" w:w="4680"/>
          </w:tcPr>
          <w:p>
            <w:r>
              <w:rPr>
                <w:b/>
              </w:rPr>
              <w:t>4. Standards for Advice</w:t>
            </w:r>
          </w:p>
        </w:tc>
        <w:tc>
          <w:tcPr>
            <w:tcW w:type="dxa" w:w="4680"/>
          </w:tcPr>
          <w:p>
            <w:pPr>
              <w:jc w:val="right"/>
            </w:pPr>
            <w:r>
              <w:rPr>
                <w:b/>
              </w:rPr>
              <w:t>4</w:t>
            </w:r>
          </w:p>
        </w:tc>
      </w:tr>
      <w:tr>
        <w:tc>
          <w:tcPr>
            <w:tcW w:type="dxa" w:w="4680"/>
          </w:tcPr>
          <w:p>
            <w:r>
              <w:rPr>
                <w:b/>
              </w:rPr>
              <w:t>5. Compliance with Standards</w:t>
            </w:r>
          </w:p>
        </w:tc>
        <w:tc>
          <w:tcPr>
            <w:tcW w:type="dxa" w:w="4680"/>
          </w:tcPr>
          <w:p>
            <w:pPr>
              <w:jc w:val="right"/>
            </w:pPr>
            <w:r>
              <w:rPr>
                <w:b/>
              </w:rPr>
              <w:t>5</w:t>
            </w:r>
          </w:p>
        </w:tc>
      </w:tr>
      <w:tr>
        <w:tc>
          <w:tcPr>
            <w:tcW w:type="dxa" w:w="4680"/>
          </w:tcPr>
          <w:p>
            <w:r>
              <w:rPr>
                <w:b/>
              </w:rPr>
              <w:t>6. Impartiality</w:t>
            </w:r>
          </w:p>
        </w:tc>
        <w:tc>
          <w:tcPr>
            <w:tcW w:type="dxa" w:w="4680"/>
          </w:tcPr>
          <w:p>
            <w:pPr>
              <w:jc w:val="right"/>
            </w:pPr>
            <w:r>
              <w:rPr>
                <w:b/>
              </w:rPr>
              <w:t>5</w:t>
            </w:r>
          </w:p>
        </w:tc>
      </w:tr>
      <w:tr>
        <w:tc>
          <w:tcPr>
            <w:tcW w:type="dxa" w:w="4680"/>
          </w:tcPr>
          <w:p>
            <w:r>
              <w:rPr>
                <w:b/>
              </w:rPr>
              <w:t>7. Acceptance of an Assignment</w:t>
            </w:r>
          </w:p>
        </w:tc>
        <w:tc>
          <w:tcPr>
            <w:tcW w:type="dxa" w:w="4680"/>
          </w:tcPr>
          <w:p>
            <w:pPr>
              <w:jc w:val="right"/>
            </w:pPr>
            <w:r>
              <w:rPr>
                <w:b/>
              </w:rPr>
              <w:t>6</w:t>
            </w:r>
          </w:p>
        </w:tc>
      </w:tr>
      <w:tr>
        <w:tc>
          <w:tcPr>
            <w:tcW w:type="dxa" w:w="4680"/>
          </w:tcPr>
          <w:p>
            <w:r>
              <w:rPr>
                <w:b/>
              </w:rPr>
              <w:t>8. Publicity</w:t>
            </w:r>
          </w:p>
        </w:tc>
        <w:tc>
          <w:tcPr>
            <w:tcW w:type="dxa" w:w="4680"/>
          </w:tcPr>
          <w:p>
            <w:pPr>
              <w:jc w:val="right"/>
            </w:pPr>
            <w:r>
              <w:rPr>
                <w:b/>
              </w:rPr>
              <w:t>7</w:t>
            </w:r>
          </w:p>
        </w:tc>
      </w:tr>
      <w:tr>
        <w:tc>
          <w:tcPr>
            <w:tcW w:type="dxa" w:w="4680"/>
          </w:tcPr>
          <w:p>
            <w:r>
              <w:rPr>
                <w:b/>
              </w:rPr>
              <w:t>9. Glossary</w:t>
            </w:r>
          </w:p>
        </w:tc>
        <w:tc>
          <w:tcPr>
            <w:tcW w:type="dxa" w:w="4680"/>
          </w:tcPr>
          <w:p>
            <w:pPr>
              <w:jc w:val="right"/>
            </w:pPr>
            <w:r>
              <w:rPr>
                <w:b/>
              </w:rPr>
              <w:t>8</w:t>
            </w:r>
          </w:p>
        </w:tc>
      </w:tr>
    </w:tbl>
    <w:p>
      <w:r>
        <w:br w:type="page"/>
      </w:r>
    </w:p>
    <w:p>
      <w:pPr>
        <w:spacing w:before="280" w:after="120"/>
      </w:pPr>
      <w:r>
        <w:rPr>
          <w:b/>
          <w:color w:val="003366"/>
          <w:sz w:val="26"/>
        </w:rPr>
        <w:t>1. GENERAL</w:t>
      </w:r>
    </w:p>
    <w:p>
      <w:pPr>
        <w:spacing w:after="80"/>
        <w:ind w:left="0"/>
        <w:jc w:val="both"/>
      </w:pPr>
      <w:r>
        <w:rPr>
          <w:b/>
        </w:rPr>
        <w:t xml:space="preserve">1.1. </w:t>
      </w:r>
      <w:r>
        <w:t>The Professional Conduct Standards provides guidance on professional conduct in addition to that is provided under the Act and Rules &amp; Regulations made thereunder and other guidance.</w:t>
      </w:r>
    </w:p>
    <w:p>
      <w:pPr>
        <w:spacing w:after="80"/>
        <w:ind w:left="0"/>
        <w:jc w:val="both"/>
      </w:pPr>
      <w:r>
        <w:rPr>
          <w:b/>
        </w:rPr>
        <w:t xml:space="preserve">1.2. </w:t>
      </w:r>
      <w:r>
        <w:t>All members must comply with the requirements of the Act and Rules &amp; Regulations made thereunder, professional guidance and other guidance. Nothing in the professional guidance is intended to require members to act in breach of legal requirements. Where professional guidance is in conflict with legal requirements, members must comply with those legal requirements.</w:t>
      </w:r>
    </w:p>
    <w:p>
      <w:pPr>
        <w:spacing w:after="80"/>
        <w:ind w:left="0"/>
        <w:jc w:val="both"/>
      </w:pPr>
      <w:r>
        <w:rPr>
          <w:b/>
        </w:rPr>
        <w:t xml:space="preserve">1.3. </w:t>
      </w:r>
      <w:r>
        <w:t>A member who has any doubt about the interpretation of professional guidance or its application in particular circumstances should normally seek advice from an actuary who has relevant experience in the first instance. If this would be inappropriate or if, having consulted such an actuary, the member has residual doubts about the course of action to be taken, the member must seek guidance from the professional body.</w:t>
      </w:r>
    </w:p>
    <w:p>
      <w:pPr>
        <w:spacing w:after="80"/>
        <w:ind w:left="0"/>
        <w:jc w:val="both"/>
      </w:pPr>
      <w:r>
        <w:rPr>
          <w:b/>
        </w:rPr>
        <w:t xml:space="preserve">1.4. </w:t>
      </w:r>
      <w:r>
        <w:t>The Professional Conduct Standards should not be interpreted as imposing any constraints which would limit a member's freedom to provide actuarial services. A member must, however, avoid arrangements which inhibit the member's ability to conform to the standards of behaviour, integrity, competence and professional judgment which other members or the public might reasonably expect of a member (including, but not limited to, the requirements of professional guidance).</w:t>
      </w:r>
    </w:p>
    <w:p>
      <w:pPr>
        <w:spacing w:after="80"/>
        <w:ind w:left="0"/>
        <w:jc w:val="both"/>
      </w:pPr>
      <w:r>
        <w:rPr>
          <w:b/>
        </w:rPr>
        <w:t xml:space="preserve">1.5. </w:t>
      </w:r>
      <w:r>
        <w:rPr>
          <w:b/>
        </w:rPr>
        <w:t xml:space="preserve">Work outside India </w:t>
      </w:r>
    </w:p>
    <w:p>
      <w:pPr>
        <w:spacing w:after="80"/>
        <w:ind w:left="360"/>
        <w:jc w:val="both"/>
      </w:pPr>
      <w:r>
        <w:rPr>
          <w:b/>
        </w:rPr>
        <w:t xml:space="preserve">1.5.1. </w:t>
      </w:r>
      <w:r>
        <w:t>Members working outside India are strongly encouraged to join the local actuarial body when it is appropriate, having regard to the nature of their work, to do so.</w:t>
      </w:r>
    </w:p>
    <w:p>
      <w:pPr>
        <w:spacing w:after="80"/>
        <w:ind w:left="360"/>
        <w:jc w:val="both"/>
      </w:pPr>
      <w:r>
        <w:rPr>
          <w:b/>
        </w:rPr>
        <w:t xml:space="preserve">1.5.2. </w:t>
      </w:r>
      <w:r>
        <w:t>A member of more than one actuarial body is subject to the rules of all such bodies. If a member has doubts about the course of action to be taken, or if there appears to be a conflict between the two sets of rules, the member should normally seek advice from the professional body.</w:t>
      </w:r>
    </w:p>
    <w:p>
      <w:pPr>
        <w:spacing w:after="80"/>
        <w:ind w:left="0"/>
        <w:jc w:val="both"/>
      </w:pPr>
      <w:r>
        <w:rPr>
          <w:b/>
        </w:rPr>
        <w:t xml:space="preserve">1.6. </w:t>
      </w:r>
      <w:r>
        <w:t>If there are circumstances under which it would be unreasonable to follow the principles of the Professional Conduct Standards, dispensation may be requested from the professional body. Such instances are expected to be rare and dispensation will be granted only in exceptional circumstance.</w:t>
      </w:r>
    </w:p>
    <w:p>
      <w:pPr>
        <w:spacing w:before="280" w:after="120"/>
      </w:pPr>
      <w:r>
        <w:rPr>
          <w:b/>
          <w:color w:val="003366"/>
          <w:sz w:val="26"/>
        </w:rPr>
        <w:t>2. PROFESSIONAL STANDARDS</w:t>
      </w:r>
    </w:p>
    <w:p>
      <w:pPr>
        <w:spacing w:after="80"/>
        <w:ind w:left="0"/>
        <w:jc w:val="both"/>
      </w:pPr>
      <w:r>
        <w:rPr>
          <w:b/>
        </w:rPr>
        <w:t xml:space="preserve">2.1. </w:t>
      </w:r>
      <w:r>
        <w:t>The actuarial profession has an obligation to serve the public interest within the context of building and promoting confidence in the work of actuaries and in the actuarial profession. Collectively it seeks to do so by informed contribution to debate on matters of public interest and by influencing those with power to protect and enhance the public interest. Individually members must maintain and observe the highest standards of conduct. The standing of the actuarial profession depends on the judgment of individual members.</w:t>
      </w:r>
    </w:p>
    <w:p>
      <w:pPr>
        <w:spacing w:after="80"/>
        <w:ind w:left="0"/>
        <w:jc w:val="both"/>
      </w:pPr>
      <w:r>
        <w:rPr>
          <w:b/>
        </w:rPr>
        <w:t xml:space="preserve">2.2. </w:t>
      </w:r>
      <w:r>
        <w:t>Members have a duty to the actuarial profession and clients and must always act honestly and with integrity.</w:t>
      </w:r>
    </w:p>
    <w:p>
      <w:pPr>
        <w:spacing w:after="80"/>
        <w:ind w:left="0"/>
        <w:jc w:val="both"/>
      </w:pPr>
      <w:r>
        <w:rPr>
          <w:b/>
        </w:rPr>
        <w:t xml:space="preserve">2.3. </w:t>
      </w:r>
      <w:r>
        <w:t>Clients are entitled to have absolute confidence in the skill, objectivity and integrity of any member.</w:t>
      </w:r>
    </w:p>
    <w:p>
      <w:pPr>
        <w:spacing w:after="80"/>
        <w:ind w:left="0"/>
        <w:jc w:val="both"/>
      </w:pPr>
      <w:r>
        <w:rPr>
          <w:b/>
        </w:rPr>
        <w:t xml:space="preserve">2.4. </w:t>
      </w:r>
      <w:r>
        <w:t>Healthy debates and expressing different opinions on matters of professional interest are good for the betterment of the actuarial profession. However, such debates and opinions must demonstrate due respect and must not bring disrepute to the actuarial profession or other members or the professional body. Members must be aware of any requirements of confidentiality and must respect the same.</w:t>
      </w:r>
    </w:p>
    <w:p>
      <w:pPr>
        <w:spacing w:before="280" w:after="120"/>
      </w:pPr>
      <w:r>
        <w:rPr>
          <w:b/>
          <w:color w:val="003366"/>
          <w:sz w:val="26"/>
        </w:rPr>
        <w:t>3. CONFIDENTIALITY</w:t>
      </w:r>
    </w:p>
    <w:p>
      <w:pPr>
        <w:spacing w:after="80"/>
        <w:ind w:left="0"/>
        <w:jc w:val="both"/>
      </w:pPr>
      <w:r>
        <w:rPr>
          <w:b/>
        </w:rPr>
        <w:t xml:space="preserve">3.1. </w:t>
      </w:r>
      <w:r>
        <w:t>As a matter of law, information acquired by an actuary in the course of professional work is frequently confidential to the actuary's client. As such, any information that is governed by confidentiality between the actuary and the actuary's client should not normally be disclosed unless consent has been obtained from the actuary's client.</w:t>
      </w:r>
    </w:p>
    <w:p>
      <w:pPr>
        <w:spacing w:after="80"/>
        <w:ind w:left="0"/>
        <w:jc w:val="both"/>
      </w:pPr>
      <w:r>
        <w:rPr>
          <w:b/>
        </w:rPr>
        <w:t xml:space="preserve">3.2. </w:t>
      </w:r>
      <w:r>
        <w:t>There are, however, circumstances in which, despite the normal duty of confidentiality, an actuary might in law be:</w:t>
      </w:r>
    </w:p>
    <w:p>
      <w:pPr>
        <w:spacing w:after="80"/>
        <w:ind w:left="360"/>
        <w:jc w:val="both"/>
      </w:pPr>
      <w:r>
        <w:rPr>
          <w:b/>
        </w:rPr>
        <w:t xml:space="preserve">3.2.1. </w:t>
      </w:r>
      <w:r>
        <w:t>obliged to disclose confidential information, either by virtue of statutory or judicial authority or by virtue of other guidance by which the client is bound, or</w:t>
      </w:r>
    </w:p>
    <w:p>
      <w:pPr>
        <w:spacing w:after="80"/>
        <w:ind w:left="360"/>
        <w:jc w:val="both"/>
      </w:pPr>
      <w:r>
        <w:rPr>
          <w:b/>
        </w:rPr>
        <w:t xml:space="preserve">3.2.2. </w:t>
      </w:r>
      <w:r>
        <w:t>free to disclose confidential information if it is in the public interest to do so or, in some circumstances, if it is for the actuary's own protection.</w:t>
      </w:r>
    </w:p>
    <w:p>
      <w:pPr>
        <w:spacing w:after="80"/>
        <w:ind w:left="360"/>
        <w:jc w:val="both"/>
      </w:pPr>
      <w:r>
        <w:rPr>
          <w:b/>
        </w:rPr>
        <w:t xml:space="preserve">3.2.3. </w:t>
      </w:r>
      <w:r>
        <w:t>An actuary may wish to seek legal advice before invoking this provision.</w:t>
      </w:r>
    </w:p>
    <w:p>
      <w:pPr>
        <w:spacing w:before="280" w:after="120"/>
      </w:pPr>
      <w:r>
        <w:rPr>
          <w:b/>
          <w:color w:val="003366"/>
          <w:sz w:val="26"/>
        </w:rPr>
        <w:t>4. STANDARDS FOR ADVICE</w:t>
      </w:r>
    </w:p>
    <w:p>
      <w:pPr>
        <w:spacing w:after="80"/>
        <w:ind w:left="0"/>
        <w:jc w:val="both"/>
      </w:pPr>
      <w:r>
        <w:rPr>
          <w:b/>
        </w:rPr>
        <w:t xml:space="preserve">4.1. </w:t>
      </w:r>
      <w:r>
        <w:t>An actuary is expected to use best judgment in formulating advice and must have proper regard to any relevant professional guidance or other guidance.</w:t>
      </w:r>
    </w:p>
    <w:p>
      <w:pPr>
        <w:spacing w:after="80"/>
        <w:ind w:left="0"/>
        <w:jc w:val="both"/>
      </w:pPr>
      <w:r>
        <w:rPr>
          <w:b/>
        </w:rPr>
        <w:t xml:space="preserve">4.2. </w:t>
      </w:r>
      <w:r>
        <w:t>In accepting an assignment and when performing the assignment, an actuary must ensure that he or she is qualified to do so as per requirements of professional guidance and other guidance.</w:t>
      </w:r>
    </w:p>
    <w:p>
      <w:pPr>
        <w:spacing w:before="280" w:after="120"/>
      </w:pPr>
      <w:r>
        <w:rPr>
          <w:b/>
          <w:color w:val="003366"/>
          <w:sz w:val="26"/>
        </w:rPr>
        <w:t>5. COMPLIANCE WITH STANDARDS</w:t>
      </w:r>
    </w:p>
    <w:p>
      <w:pPr>
        <w:spacing w:after="80"/>
        <w:ind w:left="0"/>
        <w:jc w:val="both"/>
      </w:pPr>
      <w:r>
        <w:rPr>
          <w:b/>
        </w:rPr>
        <w:t xml:space="preserve">5.1. </w:t>
      </w:r>
      <w:r>
        <w:t>Non-compliance with the Act and Rules &amp; Regulations made thereunder, professional guidance and other guidance shall constitute misconduct as per section 31 of the Act and could attract initiation of disciplinary procedures as per the Act and the relevant Rules. Members therefore have a responsibility to familiarize themselves with, and comply with the Act and Rules &amp; Regulations made thereunder, professional guidance and other guidance as ignorance or lack of proper understanding cannot be grounds for justifying any misconduct.</w:t>
      </w:r>
    </w:p>
    <w:p>
      <w:pPr>
        <w:spacing w:after="80"/>
        <w:ind w:left="0"/>
        <w:jc w:val="both"/>
      </w:pPr>
      <w:r>
        <w:rPr>
          <w:b/>
        </w:rPr>
        <w:t xml:space="preserve">5.2. </w:t>
      </w:r>
      <w:r>
        <w:t>A member who has reasons to believe that he or she has committed a misconduct, and such a misconduct could not be rectified, must report the same to the professional body.</w:t>
      </w:r>
    </w:p>
    <w:p>
      <w:pPr>
        <w:spacing w:after="80"/>
        <w:ind w:left="0"/>
        <w:jc w:val="both"/>
      </w:pPr>
      <w:r>
        <w:rPr>
          <w:b/>
        </w:rPr>
        <w:t xml:space="preserve">5.3. </w:t>
      </w:r>
      <w:r>
        <w:rPr>
          <w:b/>
        </w:rPr>
        <w:t xml:space="preserve">Action to be taken on discovering a misconduct by another member </w:t>
      </w:r>
    </w:p>
    <w:p>
      <w:pPr>
        <w:spacing w:after="80"/>
        <w:ind w:left="360"/>
        <w:jc w:val="both"/>
      </w:pPr>
      <w:r>
        <w:rPr>
          <w:b/>
        </w:rPr>
        <w:t xml:space="preserve">5.3.1. </w:t>
      </w:r>
      <w:r>
        <w:t>On becoming aware of any misconduct by another member, a member must take appropriate action at the earliest opportunity.</w:t>
      </w:r>
    </w:p>
    <w:p>
      <w:pPr>
        <w:spacing w:after="80"/>
        <w:ind w:left="360"/>
        <w:jc w:val="both"/>
      </w:pPr>
      <w:r>
        <w:rPr>
          <w:b/>
        </w:rPr>
        <w:t xml:space="preserve">5.3.2. </w:t>
      </w:r>
      <w:r>
        <w:t>If the member decides that the nature of the misconduct is such that action is called for, the member could, in the first instance, consider discussing the apparent misconduct with the other member. Possible objectives of having such a discussion include:</w:t>
      </w:r>
    </w:p>
    <w:p>
      <w:pPr>
        <w:spacing w:after="80"/>
        <w:ind w:left="720"/>
        <w:jc w:val="both"/>
      </w:pPr>
      <w:r>
        <w:rPr>
          <w:b/>
        </w:rPr>
        <w:t xml:space="preserve">5.3.2.1. </w:t>
      </w:r>
      <w:r>
        <w:t>seeking more information about the matter, so as to form a view whether there has actually been a misconduct; and/or</w:t>
      </w:r>
    </w:p>
    <w:p>
      <w:pPr>
        <w:spacing w:after="80"/>
        <w:ind w:left="720"/>
        <w:jc w:val="both"/>
      </w:pPr>
      <w:r>
        <w:rPr>
          <w:b/>
        </w:rPr>
        <w:t xml:space="preserve">5.3.2.2. </w:t>
      </w:r>
      <w:r>
        <w:t>to explore whether the matter is one where the misconduct can either be mitigated or be rectified entirely by the other member taking remedial action.</w:t>
      </w:r>
    </w:p>
    <w:p>
      <w:pPr>
        <w:spacing w:after="80"/>
        <w:ind w:left="360"/>
        <w:jc w:val="both"/>
      </w:pPr>
      <w:r>
        <w:rPr>
          <w:b/>
        </w:rPr>
        <w:t xml:space="preserve">5.3.3. </w:t>
      </w:r>
      <w:r>
        <w:t>If the member does not consider a discussion to be appropriate, or if the matter is not resolved to the satisfaction of the member as a result of such discussions, then the member must refer the matter to the professional body as prescribed in the Actuaries (Procedure for Enquiry of Professional and Other Misconduct) Rules, 2008.</w:t>
      </w:r>
    </w:p>
    <w:p>
      <w:pPr>
        <w:spacing w:after="80"/>
        <w:ind w:left="0"/>
        <w:jc w:val="both"/>
      </w:pPr>
      <w:r>
        <w:rPr>
          <w:b/>
        </w:rPr>
        <w:t xml:space="preserve">5.4. </w:t>
      </w:r>
      <w:r>
        <w:t>A member found guilty of misconduct will be liable to disciplinary action as specified in sections 30, 37 and 38 of the Act.</w:t>
      </w:r>
    </w:p>
    <w:p>
      <w:pPr>
        <w:spacing w:after="80"/>
        <w:ind w:left="0"/>
        <w:jc w:val="both"/>
      </w:pPr>
      <w:r>
        <w:rPr>
          <w:b/>
        </w:rPr>
        <w:t xml:space="preserve">5.5. </w:t>
      </w:r>
      <w:r>
        <w:rPr>
          <w:b/>
        </w:rPr>
        <w:t xml:space="preserve">Members who are also members of other actuarial bodies </w:t>
      </w:r>
    </w:p>
    <w:p>
      <w:pPr>
        <w:spacing w:after="80"/>
        <w:ind w:left="360"/>
        <w:jc w:val="both"/>
      </w:pPr>
      <w:r>
        <w:rPr>
          <w:b/>
        </w:rPr>
        <w:t xml:space="preserve">5.5.1. </w:t>
      </w:r>
      <w:r>
        <w:t>A member who has been found guilty of misconduct by the professional body must immediately inform the same to the other actuarial bodies where he or she is a member.</w:t>
      </w:r>
    </w:p>
    <w:p>
      <w:pPr>
        <w:spacing w:after="80"/>
        <w:ind w:left="360"/>
        <w:jc w:val="both"/>
      </w:pPr>
      <w:r>
        <w:rPr>
          <w:b/>
        </w:rPr>
        <w:t xml:space="preserve">5.5.2. </w:t>
      </w:r>
      <w:r>
        <w:t>A member who has been found guilty of misconduct by another actuarial body must immediately inform the same to the professional body.</w:t>
      </w:r>
    </w:p>
    <w:p>
      <w:pPr>
        <w:spacing w:before="280" w:after="120"/>
      </w:pPr>
      <w:r>
        <w:rPr>
          <w:b/>
          <w:color w:val="003366"/>
          <w:sz w:val="26"/>
        </w:rPr>
        <w:t>6. IMPARTIALITY</w:t>
      </w:r>
    </w:p>
    <w:p>
      <w:pPr>
        <w:spacing w:after="80"/>
        <w:ind w:left="0"/>
        <w:jc w:val="both"/>
      </w:pPr>
      <w:r>
        <w:rPr>
          <w:b/>
        </w:rPr>
        <w:t xml:space="preserve">6.1. </w:t>
      </w:r>
      <w:r>
        <w:t>Actuaries must ensure that their professional judgement is not compromised, and is not seen to be compromised, by any bias, conflict of interest or the undue influence of others.</w:t>
      </w:r>
    </w:p>
    <w:p>
      <w:pPr>
        <w:spacing w:after="80"/>
        <w:ind w:left="0"/>
        <w:jc w:val="both"/>
      </w:pPr>
      <w:r>
        <w:rPr>
          <w:b/>
        </w:rPr>
        <w:t xml:space="preserve">6.2. </w:t>
      </w:r>
      <w:r>
        <w:t>If there is or might appear to be a conflict of interest between two or more clients of an actuary or of the actuary's firm, or a conflict between a client and the actuary or the actuary's firm, the actuary must consider the nature and extent of the conflict and whether it is such as to make it improper for the actuary to provide actuarial services to one or more of the clients involved in the conflict.</w:t>
      </w:r>
    </w:p>
    <w:p>
      <w:pPr>
        <w:spacing w:after="80"/>
        <w:ind w:left="0"/>
        <w:jc w:val="both"/>
      </w:pPr>
      <w:r>
        <w:rPr>
          <w:b/>
        </w:rPr>
        <w:t xml:space="preserve">6.3. </w:t>
      </w:r>
      <w:r>
        <w:t>In the event of any such conflict or apparent conflict of interest, the client or clients involved must be notified at the earliest opportunity and if any actuarial services provided to a client is, or will be, influenced by interests other than those of that client or by any constraint other than that imposed by professional guidance or other guidance, this must be disclosed in the output of the actuarial services.</w:t>
      </w:r>
    </w:p>
    <w:p>
      <w:pPr>
        <w:spacing w:after="80"/>
        <w:ind w:left="0"/>
        <w:jc w:val="both"/>
      </w:pPr>
      <w:r>
        <w:rPr>
          <w:b/>
        </w:rPr>
        <w:t xml:space="preserve">6.4. </w:t>
      </w:r>
      <w:r>
        <w:t>If there might be a conflict between the interests of different clients or previous clients of the actuary or of the actuary's firm, the actuary must have proper regard to their respective interests and in particular must not communicate information within the actuary's firm which the actuary has reason to believe might harm the interest of any client or previous client.</w:t>
      </w:r>
    </w:p>
    <w:p>
      <w:pPr>
        <w:spacing w:after="80"/>
        <w:ind w:left="0"/>
        <w:jc w:val="both"/>
      </w:pPr>
      <w:r>
        <w:rPr>
          <w:b/>
        </w:rPr>
        <w:t xml:space="preserve">6.5. </w:t>
      </w:r>
      <w:r>
        <w:t>An actuary must make full and timely disclosure to the client of any financial interest, which the actuary or the actuary's firm may have in any assignment that the actuary undertakes for that client or in its outcome. Financial interest includes direct remuneration, direct and indirect benefits, commission and introductory fees paid by or to the actuary or the actuary's firm.</w:t>
      </w:r>
    </w:p>
    <w:p>
      <w:pPr>
        <w:spacing w:after="80"/>
        <w:ind w:left="0"/>
        <w:jc w:val="both"/>
      </w:pPr>
      <w:r>
        <w:rPr>
          <w:b/>
        </w:rPr>
        <w:t xml:space="preserve">6.6. </w:t>
      </w:r>
      <w:r>
        <w:t>In considering whether an actuary or an actuary's firm has a financial interest in an assignment, the actuary must have regard to other firms with which the actuary or the actuary's firm is associated.</w:t>
      </w:r>
    </w:p>
    <w:p>
      <w:pPr>
        <w:spacing w:after="80"/>
        <w:ind w:left="0"/>
        <w:jc w:val="both"/>
      </w:pPr>
      <w:r>
        <w:rPr>
          <w:b/>
        </w:rPr>
        <w:t xml:space="preserve">6.7. </w:t>
      </w:r>
      <w:r>
        <w:t>Financial rewards which are large in relation to the professional time spent, including success related or contingency fees, can threaten objectivity and thus contravene the general requirements of the Professional Conduct Standards. Accordingly, actuaries are advised to exercise extreme care in determining whether to accept such rewards or fees and must ensure that they are appropriate in the circumstances of the advice given and that there is no conflict with the requirements for professional objectivity.</w:t>
      </w:r>
    </w:p>
    <w:p>
      <w:pPr>
        <w:spacing w:before="280" w:after="120"/>
      </w:pPr>
      <w:r>
        <w:rPr>
          <w:b/>
          <w:color w:val="003366"/>
          <w:sz w:val="26"/>
        </w:rPr>
        <w:t>7. ACCEPTANCE OF AN ASSIGNMENT</w:t>
      </w:r>
    </w:p>
    <w:p>
      <w:pPr>
        <w:spacing w:after="80"/>
        <w:ind w:left="0"/>
        <w:jc w:val="both"/>
      </w:pPr>
      <w:r>
        <w:rPr>
          <w:b/>
        </w:rPr>
        <w:t xml:space="preserve">7.1. </w:t>
      </w:r>
      <w:r>
        <w:t>A client has the indisputable right to choose and to change professional advisors, to take a second opinion and to retain separate advisors on different matters. It is not the intention of the Professional Conduct Standards to interfere in the commercial activities of an actuary or an actuary's firm.</w:t>
      </w:r>
    </w:p>
    <w:p>
      <w:pPr>
        <w:spacing w:after="80"/>
        <w:ind w:left="0"/>
        <w:jc w:val="both"/>
      </w:pPr>
      <w:r>
        <w:rPr>
          <w:b/>
        </w:rPr>
        <w:t xml:space="preserve">7.2. </w:t>
      </w:r>
      <w:r>
        <w:t>If an actuary invited to provide actuarial services to a client, knows or has reason to suspect that another actuary is acting or has recently provided advice on the same or a related matter, the actuary should communicate, in writing, with the other actuary at as early a stage as possible to ask whether, he is aware of any professional reasons to be considered in accepting the appointment or any particular considerations which ought to be borne in mind before providing actuarial services. Upon receiving such an enquiry, the other actuary may provide the required information as soon as possible, but no later than 10 days from receipt of the communication from the actuary, and should make no attempt to obstruct a client who wishes to change advisors.</w:t>
      </w:r>
    </w:p>
    <w:p>
      <w:pPr>
        <w:spacing w:after="80"/>
        <w:ind w:left="0"/>
        <w:jc w:val="both"/>
      </w:pPr>
      <w:r>
        <w:rPr>
          <w:b/>
        </w:rPr>
        <w:t xml:space="preserve">7.3. </w:t>
      </w:r>
      <w:r>
        <w:t>If, however, the client, having been informed of the obligation to make contact, refuses to consent to contact being made, the appointment should be declined.</w:t>
      </w:r>
    </w:p>
    <w:p>
      <w:pPr>
        <w:spacing w:before="280" w:after="120"/>
      </w:pPr>
      <w:r>
        <w:rPr>
          <w:b/>
          <w:color w:val="003366"/>
          <w:sz w:val="26"/>
        </w:rPr>
        <w:t>8. PUBLICITY</w:t>
      </w:r>
    </w:p>
    <w:p>
      <w:pPr>
        <w:spacing w:after="80"/>
        <w:ind w:left="0"/>
        <w:jc w:val="both"/>
      </w:pPr>
      <w:r>
        <w:rPr>
          <w:b/>
        </w:rPr>
        <w:t xml:space="preserve">8.1. </w:t>
      </w:r>
      <w:r>
        <w:t>While publicity for the actuarial profession is encouraged, any form of publicity that might give an actuary an unjustified or unfair professional advantage, as opposed to a legitimate commercial advantage, is prohibited. Publicity which is likely to detract from the standing of the profession is prohibited. An actuary may publicize the professional services offered, may indicate specialization in a particular area of work and may publish the basis of charging.</w:t>
      </w:r>
    </w:p>
    <w:p>
      <w:pPr>
        <w:spacing w:after="80"/>
        <w:ind w:left="0"/>
        <w:jc w:val="both"/>
      </w:pPr>
      <w:r>
        <w:rPr>
          <w:b/>
        </w:rPr>
        <w:t xml:space="preserve">8.2. </w:t>
      </w:r>
      <w:r>
        <w:t>Actuaries must ensure that their publicity, and any publicity by others on their behalf, is appropriate to the profession. An actuary must be in a position to substantiate in an objective manner the content of any publicity for professional services. This requirement applies particularly where the publicity could be taken as suggesting that for some reason it is preferable to obtain advice from the actuary, rather than from another actuary. An actuary who is in any doubt about a particular publicity is urged to seek guidance from the professional body.</w:t>
      </w:r>
    </w:p>
    <w:p>
      <w:pPr>
        <w:spacing w:after="80"/>
        <w:ind w:left="0"/>
        <w:jc w:val="both"/>
      </w:pPr>
      <w:r>
        <w:rPr>
          <w:b/>
        </w:rPr>
        <w:t xml:space="preserve">8.3. </w:t>
      </w:r>
      <w:r>
        <w:t>A member speaking or writing, using any medium for communication, should normally seek to ensure that it is made clear in what capacity the contribution is made. A member must not imply that what is said or written has any official standing with respect to the professional body unless authorized to speak or write as a representative of the profession.</w:t>
      </w:r>
    </w:p>
    <w:p>
      <w:pPr>
        <w:spacing w:after="80"/>
        <w:ind w:left="0"/>
        <w:jc w:val="both"/>
      </w:pPr>
      <w:r>
        <w:rPr>
          <w:b/>
        </w:rPr>
        <w:t xml:space="preserve">8.4. </w:t>
      </w:r>
      <w:r>
        <w:t>In publications, CVs, seminars or conferences, a factual description of work on behalf of the profession and the titles of positions held or previously held may be included. Statements must not be made that imply that this work provides the actuary or actuary's firm with any special or additional standing or expertise.</w:t>
      </w:r>
    </w:p>
    <w:p>
      <w:pPr>
        <w:spacing w:before="280" w:after="120"/>
      </w:pPr>
      <w:r>
        <w:rPr>
          <w:b/>
          <w:color w:val="003366"/>
          <w:sz w:val="26"/>
        </w:rPr>
        <w:t>9. GLOSSARY</w:t>
      </w:r>
    </w:p>
    <w:p>
      <w:pPr>
        <w:spacing w:after="80"/>
        <w:ind w:left="0"/>
        <w:jc w:val="both"/>
      </w:pPr>
      <w:r>
        <w:rPr>
          <w:b/>
        </w:rPr>
        <w:t xml:space="preserve">Act </w:t>
      </w:r>
      <w:r>
        <w:t>The Actuaries Act, 2006</w:t>
      </w:r>
    </w:p>
    <w:p>
      <w:pPr>
        <w:spacing w:after="80"/>
        <w:ind w:left="0"/>
        <w:jc w:val="both"/>
      </w:pPr>
      <w:r>
        <w:rPr>
          <w:b/>
        </w:rPr>
        <w:t xml:space="preserve">Actuary </w:t>
      </w:r>
      <w:r>
        <w:t>A Fellow member of the Institute of Actuaries of India</w:t>
      </w:r>
    </w:p>
    <w:p>
      <w:pPr>
        <w:spacing w:after="80"/>
        <w:ind w:left="0"/>
        <w:jc w:val="both"/>
      </w:pPr>
      <w:r>
        <w:rPr>
          <w:b/>
        </w:rPr>
        <w:t xml:space="preserve">Actuarial Services </w:t>
      </w:r>
      <w:r>
        <w:t>Services based upon actuarial considerations provided to clients that may include the rendering of advice, recommendations, findings, or opinions.</w:t>
      </w:r>
    </w:p>
    <w:p>
      <w:pPr>
        <w:spacing w:after="80"/>
        <w:ind w:left="0"/>
        <w:jc w:val="both"/>
      </w:pPr>
      <w:r>
        <w:rPr>
          <w:b/>
        </w:rPr>
        <w:t xml:space="preserve">Client </w:t>
      </w:r>
      <w:r>
        <w:t>Intended user of the output of the actuary's actuarial services at the time the actuary performs those services.</w:t>
      </w:r>
    </w:p>
    <w:p>
      <w:pPr>
        <w:spacing w:after="80"/>
        <w:ind w:left="0"/>
        <w:jc w:val="both"/>
      </w:pPr>
      <w:r>
        <w:rPr>
          <w:b/>
        </w:rPr>
        <w:t xml:space="preserve">Actuary's Firm </w:t>
      </w:r>
      <w:r>
        <w:t>The entity of which the actuary is a proprietor, a partner, or an employee or a consultant.</w:t>
      </w:r>
    </w:p>
    <w:p>
      <w:pPr>
        <w:spacing w:after="80"/>
        <w:ind w:left="0"/>
        <w:jc w:val="both"/>
      </w:pPr>
      <w:r>
        <w:rPr>
          <w:b/>
        </w:rPr>
        <w:t xml:space="preserve">Member </w:t>
      </w:r>
      <w:r>
        <w:t>An individual whose name appears in the register of members maintained by the Institute of Actuaries of India.</w:t>
      </w:r>
    </w:p>
    <w:p>
      <w:pPr>
        <w:spacing w:after="80"/>
        <w:ind w:left="0"/>
        <w:jc w:val="both"/>
      </w:pPr>
      <w:r>
        <w:rPr>
          <w:b/>
        </w:rPr>
        <w:t xml:space="preserve">Member's Firm </w:t>
      </w:r>
      <w:r>
        <w:t>The entity of which the member is an employee or a consultant.</w:t>
      </w:r>
    </w:p>
    <w:p>
      <w:pPr>
        <w:spacing w:after="80"/>
        <w:ind w:left="0"/>
        <w:jc w:val="both"/>
      </w:pPr>
      <w:r>
        <w:rPr>
          <w:b/>
        </w:rPr>
        <w:t xml:space="preserve">Other Guidance </w:t>
      </w:r>
      <w:r>
        <w:t>Legislation, Rules, Regulations or Guidance provided by any statutory or regulatory body relevant in the context of any particular issue with which a member is involved.</w:t>
      </w:r>
    </w:p>
    <w:p>
      <w:pPr>
        <w:spacing w:after="80"/>
        <w:ind w:left="0"/>
        <w:jc w:val="both"/>
      </w:pPr>
      <w:r>
        <w:rPr>
          <w:b/>
        </w:rPr>
        <w:t xml:space="preserve">Professional Body </w:t>
      </w:r>
      <w:r>
        <w:t>The Institute of Actuaries of India. When reference is made to seeking guidance from the professional body, this should in the first instance be sought by contacting the President of the Institute of Actuaries of India.</w:t>
      </w:r>
    </w:p>
    <w:p>
      <w:pPr>
        <w:spacing w:after="80"/>
        <w:ind w:left="0"/>
        <w:jc w:val="both"/>
      </w:pPr>
      <w:r>
        <w:rPr>
          <w:b/>
        </w:rPr>
        <w:t xml:space="preserve">Professional Guidance </w:t>
      </w:r>
      <w:r>
        <w:t>Professional Guidance consists of Professional Conduct Standards, Guidance Notes and Actuarial Professional Standards issued by the Institute of Actuaries of India.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