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Issue Reporting Policy</w:t>
      </w:r>
    </w:p>
    <w:p>
      <w:r>
        <w:t>Issue Reporting Policy:</w:t>
        <w:br/>
        <w:t>1. All internal issues must be reported via the email system.</w:t>
        <w:br/>
        <w:t>2. Issues are categorized by severity: Low, Medium, High.</w:t>
        <w:br/>
        <w:t>3. Harassment or severe misconduct should be flagged immediately to HR.</w:t>
        <w:br/>
        <w:t>4. Anonymous reporting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