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67" w:type="dxa"/>
        <w:jc w:val="center"/>
        <w:tblInd w:w="-213" w:type="dxa"/>
        <w:tblLayout w:type="fixed"/>
        <w:tblLook w:val="04A0"/>
      </w:tblPr>
      <w:tblGrid>
        <w:gridCol w:w="3183"/>
        <w:gridCol w:w="6898"/>
        <w:gridCol w:w="3986"/>
      </w:tblGrid>
      <w:tr w:rsidR="00722114" w:rsidRPr="00E95916" w:rsidTr="005E4F37">
        <w:trPr>
          <w:trHeight w:val="584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722114">
            <w:pPr>
              <w:pStyle w:val="PwCNormal"/>
              <w:numPr>
                <w:ilvl w:val="0"/>
                <w:numId w:val="2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Vulnerability Name</w:t>
            </w:r>
          </w:p>
        </w:tc>
        <w:tc>
          <w:tcPr>
            <w:tcW w:w="6898" w:type="dxa"/>
            <w:vAlign w:val="center"/>
          </w:tcPr>
          <w:p w:rsidR="00722114" w:rsidRPr="00E95916" w:rsidRDefault="00F47CAF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sz w:val="22"/>
              </w:rPr>
            </w:pPr>
            <w:r>
              <w:rPr>
                <w:rFonts w:ascii="Bookman Old Style" w:hAnsi="Bookman Old Style" w:cs="Times New Roman"/>
                <w:b/>
                <w:sz w:val="22"/>
              </w:rPr>
              <w:t>Cross site Scripting(XSS)</w:t>
            </w:r>
          </w:p>
        </w:tc>
        <w:tc>
          <w:tcPr>
            <w:tcW w:w="3986" w:type="dxa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sz w:val="22"/>
              </w:rPr>
              <w:t>Risk Rating</w:t>
            </w:r>
            <w:r w:rsidRPr="00E95916">
              <w:rPr>
                <w:rFonts w:ascii="Bookman Old Style" w:hAnsi="Bookman Old Style" w:cs="Times New Roman"/>
                <w:sz w:val="22"/>
              </w:rPr>
              <w:t xml:space="preserve">: </w:t>
            </w:r>
            <w:r>
              <w:rPr>
                <w:rFonts w:ascii="Bookman Old Style" w:hAnsi="Bookman Old Style" w:cs="Times New Roman"/>
                <w:sz w:val="22"/>
              </w:rPr>
              <w:t>High</w:t>
            </w:r>
          </w:p>
        </w:tc>
      </w:tr>
      <w:tr w:rsidR="00722114" w:rsidRPr="00E95916" w:rsidTr="005E4F37">
        <w:trPr>
          <w:trHeight w:val="541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Description</w:t>
            </w:r>
          </w:p>
        </w:tc>
        <w:tc>
          <w:tcPr>
            <w:tcW w:w="10884" w:type="dxa"/>
            <w:gridSpan w:val="2"/>
            <w:vAlign w:val="center"/>
          </w:tcPr>
          <w:p w:rsidR="00722114" w:rsidRPr="00E95916" w:rsidRDefault="00E41277" w:rsidP="005E4F37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  <w:r w:rsidRPr="00E41277">
              <w:rPr>
                <w:rFonts w:ascii="Bookman Old Style" w:hAnsi="Bookman Old Style" w:cs="Times New Roman"/>
                <w:sz w:val="22"/>
              </w:rPr>
              <w:t>The application is affected with this vulnerability which occurs at the client side due to the improper input validation supplied by the user. This is a code injection that includes client-side code injection attack wherein an attacker can execute malicious scripts into a legitimate website or web application.</w:t>
            </w:r>
          </w:p>
        </w:tc>
      </w:tr>
      <w:tr w:rsidR="00722114" w:rsidRPr="00E95916" w:rsidTr="005E4F37">
        <w:trPr>
          <w:trHeight w:val="317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Affected Path(s)</w:t>
            </w:r>
          </w:p>
        </w:tc>
        <w:tc>
          <w:tcPr>
            <w:tcW w:w="10884" w:type="dxa"/>
            <w:gridSpan w:val="2"/>
            <w:vAlign w:val="center"/>
          </w:tcPr>
          <w:p w:rsidR="00722114" w:rsidRPr="00753241" w:rsidRDefault="00904C6C" w:rsidP="00F45A2E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/>
                <w:sz w:val="22"/>
              </w:rPr>
            </w:pPr>
            <w:r w:rsidRPr="00904C6C">
              <w:rPr>
                <w:rFonts w:ascii="Bookman Old Style" w:hAnsi="Bookman Old Style"/>
                <w:sz w:val="22"/>
              </w:rPr>
              <w:t>https://apbcl.ap.gov.in/ap/index.php/site/login#</w:t>
            </w:r>
          </w:p>
        </w:tc>
      </w:tr>
      <w:tr w:rsidR="00722114" w:rsidRPr="00E95916" w:rsidTr="005E4F37">
        <w:trPr>
          <w:trHeight w:val="584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Impact</w:t>
            </w:r>
          </w:p>
        </w:tc>
        <w:tc>
          <w:tcPr>
            <w:tcW w:w="10884" w:type="dxa"/>
            <w:gridSpan w:val="2"/>
            <w:vAlign w:val="center"/>
          </w:tcPr>
          <w:p w:rsidR="00722114" w:rsidRPr="00E139E9" w:rsidRDefault="00E41277" w:rsidP="005E4F37">
            <w:pPr>
              <w:rPr>
                <w:rFonts w:cstheme="minorHAnsi"/>
              </w:rPr>
            </w:pPr>
            <w:r w:rsidRPr="00E41277">
              <w:rPr>
                <w:rFonts w:cstheme="minorHAnsi"/>
              </w:rPr>
              <w:t>An attacker can insert malicious JavaScript code that has access to cookies and local storage, which are often used to store session tokens. If an attacker can obtain a user's session cookie, they can then impersonate that user.</w:t>
            </w:r>
          </w:p>
        </w:tc>
      </w:tr>
      <w:tr w:rsidR="00722114" w:rsidRPr="00E95916" w:rsidTr="005E4F37">
        <w:trPr>
          <w:trHeight w:val="1125"/>
          <w:jc w:val="center"/>
        </w:trPr>
        <w:tc>
          <w:tcPr>
            <w:tcW w:w="14067" w:type="dxa"/>
            <w:gridSpan w:val="3"/>
            <w:vAlign w:val="center"/>
          </w:tcPr>
          <w:p w:rsidR="00722114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sz w:val="22"/>
              </w:rPr>
              <w:t>Evidence/Proof of Concept</w:t>
            </w:r>
          </w:p>
          <w:p w:rsidR="00FC0CE6" w:rsidRDefault="00722114" w:rsidP="008C0464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  <w:r w:rsidRPr="00BC617F">
              <w:rPr>
                <w:rFonts w:ascii="Bookman Old Style" w:hAnsi="Bookman Old Style" w:cs="Times New Roman"/>
                <w:sz w:val="22"/>
              </w:rPr>
              <w:t xml:space="preserve">Step 1: </w:t>
            </w:r>
            <w:r>
              <w:rPr>
                <w:rFonts w:ascii="Bookman Old Style" w:hAnsi="Bookman Old Style" w:cs="Times New Roman"/>
                <w:sz w:val="22"/>
              </w:rPr>
              <w:t xml:space="preserve">Access </w:t>
            </w:r>
            <w:r w:rsidR="007C7AEB">
              <w:rPr>
                <w:rFonts w:ascii="Bookman Old Style" w:hAnsi="Bookman Old Style" w:cs="Times New Roman"/>
                <w:sz w:val="22"/>
              </w:rPr>
              <w:t>the</w:t>
            </w:r>
            <w:r>
              <w:rPr>
                <w:rFonts w:ascii="Bookman Old Style" w:hAnsi="Bookman Old Style" w:cs="Times New Roman"/>
                <w:sz w:val="22"/>
              </w:rPr>
              <w:t xml:space="preserve"> URL </w:t>
            </w:r>
            <w:r w:rsidR="00081F7B">
              <w:rPr>
                <w:rFonts w:ascii="Bookman Old Style" w:hAnsi="Bookman Old Style" w:cs="Times New Roman"/>
                <w:sz w:val="22"/>
              </w:rPr>
              <w:t xml:space="preserve">and </w:t>
            </w:r>
            <w:r w:rsidR="00E41277">
              <w:rPr>
                <w:rFonts w:ascii="Bookman Old Style" w:hAnsi="Bookman Old Style" w:cs="Times New Roman"/>
                <w:sz w:val="22"/>
              </w:rPr>
              <w:t xml:space="preserve">click on bot symbol to open chat </w:t>
            </w:r>
            <w:r w:rsidR="00081F7B">
              <w:rPr>
                <w:rFonts w:ascii="Bookman Old Style" w:hAnsi="Bookman Old Style" w:cs="Times New Roman"/>
                <w:sz w:val="22"/>
              </w:rPr>
              <w:t>as shown below</w:t>
            </w:r>
            <w:r w:rsidR="00CF283E">
              <w:rPr>
                <w:rFonts w:ascii="Bookman Old Style" w:hAnsi="Bookman Old Style" w:cs="Times New Roman"/>
                <w:sz w:val="22"/>
              </w:rPr>
              <w:t>:</w:t>
            </w:r>
          </w:p>
          <w:p w:rsidR="00BC37F3" w:rsidRDefault="00BC37F3" w:rsidP="00366C2B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</w:p>
          <w:p w:rsidR="00BC37F3" w:rsidRDefault="00BC37F3" w:rsidP="00BC37F3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sz w:val="22"/>
              </w:rPr>
              <w:t xml:space="preserve">Step 2: </w:t>
            </w:r>
            <w:r w:rsidR="00E41277">
              <w:rPr>
                <w:rFonts w:ascii="Bookman Old Style" w:hAnsi="Bookman Old Style" w:cs="Times New Roman"/>
                <w:sz w:val="22"/>
              </w:rPr>
              <w:t>enter the payload and submit the query as show in image</w:t>
            </w:r>
            <w:r w:rsidR="00366C2B">
              <w:rPr>
                <w:rFonts w:ascii="Bookman Old Style" w:hAnsi="Bookman Old Style" w:cs="Times New Roman"/>
                <w:sz w:val="22"/>
              </w:rPr>
              <w:t>.</w:t>
            </w:r>
          </w:p>
          <w:p w:rsidR="00E41277" w:rsidRDefault="00E41277" w:rsidP="00BC37F3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</w:p>
          <w:p w:rsidR="00E41277" w:rsidRDefault="00E41277" w:rsidP="00BC37F3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sz w:val="22"/>
              </w:rPr>
              <w:t>Step 3:the pop will displayed as shown in image</w:t>
            </w:r>
            <w:r w:rsidR="00366C2B">
              <w:rPr>
                <w:rFonts w:ascii="Bookman Old Style" w:hAnsi="Bookman Old Style" w:cs="Times New Roman"/>
                <w:sz w:val="22"/>
              </w:rPr>
              <w:t>.</w:t>
            </w:r>
          </w:p>
          <w:p w:rsidR="0041796E" w:rsidRPr="00FC0CE6" w:rsidRDefault="0041796E" w:rsidP="0041796E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</w:p>
        </w:tc>
      </w:tr>
      <w:tr w:rsidR="00722114" w:rsidRPr="00E95916" w:rsidTr="005E4F37">
        <w:trPr>
          <w:trHeight w:val="350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Recommendation</w:t>
            </w:r>
          </w:p>
        </w:tc>
        <w:tc>
          <w:tcPr>
            <w:tcW w:w="10884" w:type="dxa"/>
            <w:gridSpan w:val="2"/>
            <w:shd w:val="clear" w:color="auto" w:fill="auto"/>
            <w:vAlign w:val="center"/>
          </w:tcPr>
          <w:p w:rsidR="00E41277" w:rsidRPr="00E41277" w:rsidRDefault="00E41277" w:rsidP="00E41277">
            <w:pPr>
              <w:pStyle w:val="PwCNormal"/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  <w:r w:rsidRPr="00E41277">
              <w:rPr>
                <w:rFonts w:ascii="Bookman Old Style" w:hAnsi="Bookman Old Style" w:cs="Times New Roman"/>
                <w:sz w:val="22"/>
              </w:rPr>
              <w:t>• Input should be validated as strictly as possible on arrival, given the kind of content that it is expected to contain</w:t>
            </w:r>
          </w:p>
          <w:p w:rsidR="00722114" w:rsidRPr="00E95916" w:rsidRDefault="00E41277" w:rsidP="00E41277">
            <w:pPr>
              <w:pStyle w:val="PwCNormal"/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  <w:r w:rsidRPr="00E41277">
              <w:rPr>
                <w:rFonts w:ascii="Bookman Old Style" w:hAnsi="Bookman Old Style" w:cs="Times New Roman"/>
                <w:sz w:val="22"/>
              </w:rPr>
              <w:t>• User input should be HTML-encoded at any point where it is copied into application responses. All HTML meta</w:t>
            </w:r>
            <w:r w:rsidR="00366C2B">
              <w:rPr>
                <w:rFonts w:ascii="Bookman Old Style" w:hAnsi="Bookman Old Style" w:cs="Times New Roman"/>
                <w:sz w:val="22"/>
              </w:rPr>
              <w:t xml:space="preserve"> </w:t>
            </w:r>
            <w:r w:rsidRPr="00E41277">
              <w:rPr>
                <w:rFonts w:ascii="Bookman Old Style" w:hAnsi="Bookman Old Style" w:cs="Times New Roman"/>
                <w:sz w:val="22"/>
              </w:rPr>
              <w:t>characters, including &lt; &gt; " ' and =, should be replaced with the corresponding HTML entities (&amp;lt; &amp;gt; etc).</w:t>
            </w:r>
          </w:p>
        </w:tc>
      </w:tr>
      <w:tr w:rsidR="00722114" w:rsidRPr="00E95916" w:rsidTr="009B1D2B">
        <w:trPr>
          <w:trHeight w:val="289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Management Comments</w:t>
            </w:r>
          </w:p>
        </w:tc>
        <w:tc>
          <w:tcPr>
            <w:tcW w:w="10884" w:type="dxa"/>
            <w:gridSpan w:val="2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  <w:highlight w:val="yellow"/>
              </w:rPr>
            </w:pPr>
          </w:p>
        </w:tc>
      </w:tr>
    </w:tbl>
    <w:p w:rsidR="00A07BA0" w:rsidRDefault="00A07BA0" w:rsidP="00E0277C"/>
    <w:sectPr w:rsidR="00A07BA0" w:rsidSect="00722114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229" w:rsidRDefault="002C6229" w:rsidP="002025EF">
      <w:r>
        <w:separator/>
      </w:r>
    </w:p>
  </w:endnote>
  <w:endnote w:type="continuationSeparator" w:id="1">
    <w:p w:rsidR="002C6229" w:rsidRDefault="002C6229" w:rsidP="002025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EF" w:rsidRPr="002025EF" w:rsidRDefault="002025EF" w:rsidP="002025EF">
    <w:pPr>
      <w:pStyle w:val="Footer"/>
      <w:rPr>
        <w:rFonts w:ascii="Bookman Old Style" w:hAnsi="Bookman Old Style"/>
      </w:rPr>
    </w:pPr>
    <w:r w:rsidRPr="002025EF">
      <w:rPr>
        <w:rFonts w:ascii="Bookman Old Style" w:hAnsi="Bookman Old Style"/>
      </w:rPr>
      <w:t>Andhra Pradesh Technology Services – ITE &amp; C Dept, Govt. Of AP</w:t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 w:rsidRPr="002025EF">
      <w:rPr>
        <w:rFonts w:ascii="Bookman Old Style" w:hAnsi="Bookman Old Style"/>
      </w:rPr>
      <w:t xml:space="preserve"> </w:t>
    </w:r>
    <w:sdt>
      <w:sdtPr>
        <w:rPr>
          <w:rFonts w:ascii="Bookman Old Style" w:hAnsi="Bookman Old Style"/>
        </w:rPr>
        <w:id w:val="218912922"/>
        <w:docPartObj>
          <w:docPartGallery w:val="Page Numbers (Bottom of Page)"/>
          <w:docPartUnique/>
        </w:docPartObj>
      </w:sdtPr>
      <w:sdtContent>
        <w:sdt>
          <w:sdtPr>
            <w:rPr>
              <w:rFonts w:ascii="Bookman Old Style" w:hAnsi="Bookman Old Style"/>
            </w:rPr>
            <w:id w:val="565050523"/>
            <w:docPartObj>
              <w:docPartGallery w:val="Page Numbers (Top of Page)"/>
              <w:docPartUnique/>
            </w:docPartObj>
          </w:sdtPr>
          <w:sdtContent>
            <w:r w:rsidRPr="002025EF">
              <w:rPr>
                <w:rFonts w:ascii="Bookman Old Style" w:hAnsi="Bookman Old Style"/>
              </w:rPr>
              <w:t xml:space="preserve">Page </w:t>
            </w:r>
            <w:r w:rsidR="007F39FE" w:rsidRPr="002025EF">
              <w:rPr>
                <w:rFonts w:ascii="Bookman Old Style" w:hAnsi="Bookman Old Style"/>
                <w:b/>
                <w:szCs w:val="24"/>
              </w:rPr>
              <w:fldChar w:fldCharType="begin"/>
            </w:r>
            <w:r w:rsidRPr="002025EF">
              <w:rPr>
                <w:rFonts w:ascii="Bookman Old Style" w:hAnsi="Bookman Old Style"/>
                <w:b/>
              </w:rPr>
              <w:instrText xml:space="preserve"> PAGE </w:instrText>
            </w:r>
            <w:r w:rsidR="007F39FE" w:rsidRPr="002025EF">
              <w:rPr>
                <w:rFonts w:ascii="Bookman Old Style" w:hAnsi="Bookman Old Style"/>
                <w:b/>
                <w:szCs w:val="24"/>
              </w:rPr>
              <w:fldChar w:fldCharType="separate"/>
            </w:r>
            <w:r w:rsidR="00366C2B">
              <w:rPr>
                <w:rFonts w:ascii="Bookman Old Style" w:hAnsi="Bookman Old Style"/>
                <w:b/>
                <w:noProof/>
              </w:rPr>
              <w:t>1</w:t>
            </w:r>
            <w:r w:rsidR="007F39FE" w:rsidRPr="002025EF">
              <w:rPr>
                <w:rFonts w:ascii="Bookman Old Style" w:hAnsi="Bookman Old Style"/>
                <w:b/>
                <w:szCs w:val="24"/>
              </w:rPr>
              <w:fldChar w:fldCharType="end"/>
            </w:r>
            <w:r w:rsidRPr="002025EF">
              <w:rPr>
                <w:rFonts w:ascii="Bookman Old Style" w:hAnsi="Bookman Old Style"/>
              </w:rPr>
              <w:t xml:space="preserve"> of </w:t>
            </w:r>
            <w:r w:rsidR="007F39FE" w:rsidRPr="002025EF">
              <w:rPr>
                <w:rFonts w:ascii="Bookman Old Style" w:hAnsi="Bookman Old Style"/>
                <w:b/>
                <w:szCs w:val="24"/>
              </w:rPr>
              <w:fldChar w:fldCharType="begin"/>
            </w:r>
            <w:r w:rsidRPr="002025EF">
              <w:rPr>
                <w:rFonts w:ascii="Bookman Old Style" w:hAnsi="Bookman Old Style"/>
                <w:b/>
              </w:rPr>
              <w:instrText xml:space="preserve"> NUMPAGES  </w:instrText>
            </w:r>
            <w:r w:rsidR="007F39FE" w:rsidRPr="002025EF">
              <w:rPr>
                <w:rFonts w:ascii="Bookman Old Style" w:hAnsi="Bookman Old Style"/>
                <w:b/>
                <w:szCs w:val="24"/>
              </w:rPr>
              <w:fldChar w:fldCharType="separate"/>
            </w:r>
            <w:r w:rsidR="00366C2B">
              <w:rPr>
                <w:rFonts w:ascii="Bookman Old Style" w:hAnsi="Bookman Old Style"/>
                <w:b/>
                <w:noProof/>
              </w:rPr>
              <w:t>1</w:t>
            </w:r>
            <w:r w:rsidR="007F39FE" w:rsidRPr="002025EF">
              <w:rPr>
                <w:rFonts w:ascii="Bookman Old Style" w:hAnsi="Bookman Old Style"/>
                <w:b/>
                <w:szCs w:val="24"/>
              </w:rPr>
              <w:fldChar w:fldCharType="end"/>
            </w:r>
          </w:sdtContent>
        </w:sdt>
      </w:sdtContent>
    </w:sdt>
  </w:p>
  <w:p w:rsidR="002025EF" w:rsidRDefault="002025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229" w:rsidRDefault="002C6229" w:rsidP="002025EF">
      <w:r>
        <w:separator/>
      </w:r>
    </w:p>
  </w:footnote>
  <w:footnote w:type="continuationSeparator" w:id="1">
    <w:p w:rsidR="002C6229" w:rsidRDefault="002C6229" w:rsidP="002025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EF" w:rsidRPr="002025EF" w:rsidRDefault="002025EF" w:rsidP="002025EF">
    <w:pPr>
      <w:pStyle w:val="Header"/>
      <w:jc w:val="center"/>
      <w:rPr>
        <w:rFonts w:ascii="Bookman Old Style" w:hAnsi="Bookman Old Style"/>
        <w:b/>
      </w:rPr>
    </w:pPr>
    <w:r w:rsidRPr="002025EF">
      <w:rPr>
        <w:rFonts w:ascii="Bookman Old Style" w:hAnsi="Bookman Old Style"/>
        <w:b/>
      </w:rPr>
      <w:t>Private &amp; Confidential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488"/>
    <w:multiLevelType w:val="hybridMultilevel"/>
    <w:tmpl w:val="4642DFD8"/>
    <w:lvl w:ilvl="0" w:tplc="F4B2FE8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917BB9"/>
    <w:multiLevelType w:val="multilevel"/>
    <w:tmpl w:val="4E5C847A"/>
    <w:lvl w:ilvl="0">
      <w:start w:val="1"/>
      <w:numFmt w:val="none"/>
      <w:pStyle w:val="PwCNormal"/>
      <w:suff w:val="nothing"/>
      <w:lvlText w:val="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none"/>
      <w:pStyle w:val="Indent1"/>
      <w:suff w:val="nothing"/>
      <w:lvlText w:val=""/>
      <w:lvlJc w:val="left"/>
      <w:pPr>
        <w:ind w:left="567" w:firstLine="0"/>
      </w:pPr>
      <w:rPr>
        <w:rFonts w:hint="default"/>
      </w:rPr>
    </w:lvl>
    <w:lvl w:ilvl="2">
      <w:start w:val="1"/>
      <w:numFmt w:val="none"/>
      <w:pStyle w:val="Indent2"/>
      <w:suff w:val="nothing"/>
      <w:lvlText w:val=""/>
      <w:lvlJc w:val="left"/>
      <w:pPr>
        <w:ind w:left="1134" w:firstLine="0"/>
      </w:pPr>
      <w:rPr>
        <w:rFonts w:hint="default"/>
      </w:rPr>
    </w:lvl>
    <w:lvl w:ilvl="3">
      <w:start w:val="1"/>
      <w:numFmt w:val="none"/>
      <w:pStyle w:val="Indent3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pStyle w:val="Indent4"/>
      <w:suff w:val="nothing"/>
      <w:lvlText w:val=""/>
      <w:lvlJc w:val="left"/>
      <w:pPr>
        <w:ind w:left="2268" w:firstLine="0"/>
      </w:pPr>
      <w:rPr>
        <w:rFonts w:hint="default"/>
      </w:rPr>
    </w:lvl>
    <w:lvl w:ilvl="5">
      <w:start w:val="1"/>
      <w:numFmt w:val="none"/>
      <w:pStyle w:val="Indent5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Indent6"/>
      <w:suff w:val="nothing"/>
      <w:lvlText w:val=""/>
      <w:lvlJc w:val="left"/>
      <w:pPr>
        <w:ind w:left="3402" w:firstLine="0"/>
      </w:pPr>
      <w:rPr>
        <w:rFonts w:hint="default"/>
      </w:rPr>
    </w:lvl>
    <w:lvl w:ilvl="7">
      <w:start w:val="1"/>
      <w:numFmt w:val="none"/>
      <w:pStyle w:val="Indent7"/>
      <w:suff w:val="nothing"/>
      <w:lvlText w:val=""/>
      <w:lvlJc w:val="left"/>
      <w:pPr>
        <w:ind w:left="3969" w:firstLine="0"/>
      </w:pPr>
      <w:rPr>
        <w:rFonts w:hint="default"/>
      </w:rPr>
    </w:lvl>
    <w:lvl w:ilvl="8">
      <w:start w:val="1"/>
      <w:numFmt w:val="none"/>
      <w:pStyle w:val="Indent8"/>
      <w:suff w:val="nothing"/>
      <w:lvlText w:val=""/>
      <w:lvlJc w:val="left"/>
      <w:pPr>
        <w:ind w:left="4536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2114"/>
    <w:rsid w:val="00081F7B"/>
    <w:rsid w:val="00124FEA"/>
    <w:rsid w:val="00197E46"/>
    <w:rsid w:val="001D7461"/>
    <w:rsid w:val="002025EF"/>
    <w:rsid w:val="00245F6D"/>
    <w:rsid w:val="002C6229"/>
    <w:rsid w:val="002C7881"/>
    <w:rsid w:val="0036612D"/>
    <w:rsid w:val="00366C2B"/>
    <w:rsid w:val="003D27AF"/>
    <w:rsid w:val="003D3193"/>
    <w:rsid w:val="00414FE0"/>
    <w:rsid w:val="0041796E"/>
    <w:rsid w:val="00443D0E"/>
    <w:rsid w:val="005514FA"/>
    <w:rsid w:val="00590C45"/>
    <w:rsid w:val="005970F8"/>
    <w:rsid w:val="00606D6B"/>
    <w:rsid w:val="0061552C"/>
    <w:rsid w:val="0064308C"/>
    <w:rsid w:val="006E3339"/>
    <w:rsid w:val="00722114"/>
    <w:rsid w:val="00781EFF"/>
    <w:rsid w:val="007926E0"/>
    <w:rsid w:val="007B0ECC"/>
    <w:rsid w:val="007C7AEB"/>
    <w:rsid w:val="007E07AA"/>
    <w:rsid w:val="007F39FE"/>
    <w:rsid w:val="00833D38"/>
    <w:rsid w:val="008C0464"/>
    <w:rsid w:val="00904C6C"/>
    <w:rsid w:val="009645CB"/>
    <w:rsid w:val="009B1D2B"/>
    <w:rsid w:val="009F4B9D"/>
    <w:rsid w:val="00A00E16"/>
    <w:rsid w:val="00A07BA0"/>
    <w:rsid w:val="00A135A6"/>
    <w:rsid w:val="00A2227D"/>
    <w:rsid w:val="00A30296"/>
    <w:rsid w:val="00A815BD"/>
    <w:rsid w:val="00AC00EE"/>
    <w:rsid w:val="00B00822"/>
    <w:rsid w:val="00BA31B3"/>
    <w:rsid w:val="00BC37F3"/>
    <w:rsid w:val="00C304C2"/>
    <w:rsid w:val="00C72687"/>
    <w:rsid w:val="00C75B26"/>
    <w:rsid w:val="00CF283E"/>
    <w:rsid w:val="00D353A2"/>
    <w:rsid w:val="00E0277C"/>
    <w:rsid w:val="00E22C17"/>
    <w:rsid w:val="00E41277"/>
    <w:rsid w:val="00E832DE"/>
    <w:rsid w:val="00EA6753"/>
    <w:rsid w:val="00ED28CA"/>
    <w:rsid w:val="00F45A2E"/>
    <w:rsid w:val="00F47CAF"/>
    <w:rsid w:val="00F55069"/>
    <w:rsid w:val="00FC0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11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21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nt1">
    <w:name w:val="Indent 1"/>
    <w:basedOn w:val="Normal"/>
    <w:rsid w:val="00722114"/>
    <w:pPr>
      <w:numPr>
        <w:ilvl w:val="1"/>
        <w:numId w:val="1"/>
      </w:numPr>
      <w:kinsoku w:val="0"/>
      <w:overflowPunct w:val="0"/>
      <w:autoSpaceDE w:val="0"/>
      <w:autoSpaceDN w:val="0"/>
      <w:adjustRightInd w:val="0"/>
      <w:snapToGrid w:val="0"/>
      <w:spacing w:before="100" w:after="100"/>
    </w:pPr>
    <w:rPr>
      <w:rFonts w:asciiTheme="majorHAnsi" w:hAnsiTheme="majorHAnsi"/>
      <w:snapToGrid w:val="0"/>
      <w:color w:val="000000" w:themeColor="text1"/>
      <w:sz w:val="20"/>
      <w:szCs w:val="36"/>
      <w:lang w:eastAsia="en-AU"/>
    </w:rPr>
  </w:style>
  <w:style w:type="paragraph" w:customStyle="1" w:styleId="Indent2">
    <w:name w:val="Indent 2"/>
    <w:basedOn w:val="Indent1"/>
    <w:rsid w:val="00722114"/>
    <w:pPr>
      <w:numPr>
        <w:ilvl w:val="2"/>
      </w:numPr>
    </w:pPr>
  </w:style>
  <w:style w:type="paragraph" w:customStyle="1" w:styleId="Indent3">
    <w:name w:val="Indent 3"/>
    <w:basedOn w:val="Indent2"/>
    <w:rsid w:val="00722114"/>
    <w:pPr>
      <w:numPr>
        <w:ilvl w:val="3"/>
      </w:numPr>
    </w:pPr>
  </w:style>
  <w:style w:type="paragraph" w:customStyle="1" w:styleId="Indent5">
    <w:name w:val="Indent 5"/>
    <w:basedOn w:val="Indent4"/>
    <w:rsid w:val="00722114"/>
    <w:pPr>
      <w:numPr>
        <w:ilvl w:val="5"/>
      </w:numPr>
    </w:pPr>
  </w:style>
  <w:style w:type="paragraph" w:customStyle="1" w:styleId="Indent6">
    <w:name w:val="Indent 6"/>
    <w:basedOn w:val="Indent5"/>
    <w:rsid w:val="00722114"/>
    <w:pPr>
      <w:numPr>
        <w:ilvl w:val="6"/>
      </w:numPr>
    </w:pPr>
  </w:style>
  <w:style w:type="paragraph" w:customStyle="1" w:styleId="Indent7">
    <w:name w:val="Indent 7"/>
    <w:basedOn w:val="Indent6"/>
    <w:rsid w:val="00722114"/>
    <w:pPr>
      <w:numPr>
        <w:ilvl w:val="7"/>
      </w:numPr>
    </w:pPr>
  </w:style>
  <w:style w:type="paragraph" w:customStyle="1" w:styleId="Indent4">
    <w:name w:val="Indent 4"/>
    <w:basedOn w:val="Indent3"/>
    <w:rsid w:val="00722114"/>
    <w:pPr>
      <w:numPr>
        <w:ilvl w:val="4"/>
      </w:numPr>
    </w:pPr>
  </w:style>
  <w:style w:type="paragraph" w:customStyle="1" w:styleId="PwCNormal">
    <w:name w:val="PwC Normal"/>
    <w:aliases w:val="n"/>
    <w:basedOn w:val="Normal"/>
    <w:link w:val="PwCNormalChar"/>
    <w:qFormat/>
    <w:rsid w:val="00722114"/>
    <w:pPr>
      <w:numPr>
        <w:numId w:val="1"/>
      </w:numPr>
      <w:kinsoku w:val="0"/>
      <w:overflowPunct w:val="0"/>
      <w:autoSpaceDE w:val="0"/>
      <w:autoSpaceDN w:val="0"/>
      <w:adjustRightInd w:val="0"/>
      <w:snapToGrid w:val="0"/>
      <w:spacing w:after="240"/>
    </w:pPr>
    <w:rPr>
      <w:rFonts w:asciiTheme="majorHAnsi" w:hAnsiTheme="majorHAnsi" w:cs="Arial"/>
      <w:snapToGrid w:val="0"/>
      <w:color w:val="000000" w:themeColor="text1"/>
      <w:sz w:val="20"/>
      <w:szCs w:val="36"/>
      <w:lang w:eastAsia="en-AU"/>
    </w:rPr>
  </w:style>
  <w:style w:type="character" w:customStyle="1" w:styleId="PwCNormalChar">
    <w:name w:val="PwC Normal Char"/>
    <w:aliases w:val="n Char Char,n Char"/>
    <w:basedOn w:val="DefaultParagraphFont"/>
    <w:link w:val="PwCNormal"/>
    <w:rsid w:val="00722114"/>
    <w:rPr>
      <w:rFonts w:asciiTheme="majorHAnsi" w:eastAsia="Times New Roman" w:hAnsiTheme="majorHAnsi" w:cs="Arial"/>
      <w:snapToGrid w:val="0"/>
      <w:color w:val="000000" w:themeColor="text1"/>
      <w:sz w:val="20"/>
      <w:szCs w:val="36"/>
      <w:lang w:val="en-AU" w:eastAsia="en-AU"/>
    </w:rPr>
  </w:style>
  <w:style w:type="paragraph" w:customStyle="1" w:styleId="Indent8">
    <w:name w:val="Indent 8"/>
    <w:basedOn w:val="Indent7"/>
    <w:rsid w:val="00722114"/>
    <w:pPr>
      <w:numPr>
        <w:ilvl w:val="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1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114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202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25EF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202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5EF"/>
    <w:rPr>
      <w:rFonts w:ascii="Times New Roman" w:eastAsia="Times New Roman" w:hAnsi="Times New Roman" w:cs="Times New Roman"/>
      <w:sz w:val="24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- Security Audit Team</dc:creator>
  <cp:lastModifiedBy>APTSADMIN</cp:lastModifiedBy>
  <cp:revision>103</cp:revision>
  <dcterms:created xsi:type="dcterms:W3CDTF">2019-06-14T12:30:00Z</dcterms:created>
  <dcterms:modified xsi:type="dcterms:W3CDTF">2019-11-28T10:22:00Z</dcterms:modified>
  <cp:category>Private &amp; Confidential</cp:category>
</cp:coreProperties>
</file>