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6635" w14:textId="5C4C0B77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9. Scope Boundaries Document</w:t>
      </w:r>
    </w:p>
    <w:p w14:paraId="48DFFC62" w14:textId="77777777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Included: Registration, Admin dashboard, Notifications</w:t>
      </w:r>
    </w:p>
    <w:p w14:paraId="53E222A1" w14:textId="77777777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Excluded: Exam grading, Online teaching modules</w:t>
      </w:r>
    </w:p>
    <w:p w14:paraId="20E39C5B" w14:textId="6C60B124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Additional Points:</w:t>
      </w:r>
    </w:p>
    <w:p w14:paraId="1FBC57E6" w14:textId="547894E8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Define integration limits with payment gateways</w:t>
      </w:r>
    </w:p>
    <w:p w14:paraId="1990796D" w14:textId="1784CA27" w:rsidR="00B00FE6" w:rsidRPr="00B00FE6" w:rsidRDefault="00B00FE6" w:rsidP="00B00FE6">
      <w:pPr>
        <w:rPr>
          <w:rFonts w:ascii="Times New Roman" w:hAnsi="Times New Roman" w:cs="Times New Roman"/>
          <w:sz w:val="32"/>
          <w:szCs w:val="32"/>
        </w:rPr>
      </w:pPr>
      <w:r w:rsidRPr="00B00FE6">
        <w:rPr>
          <w:rFonts w:ascii="Times New Roman" w:hAnsi="Times New Roman" w:cs="Times New Roman"/>
          <w:sz w:val="32"/>
          <w:szCs w:val="32"/>
        </w:rPr>
        <w:t>Clarify data ownership and retention policies</w:t>
      </w:r>
    </w:p>
    <w:sectPr w:rsidR="00B00FE6" w:rsidRPr="00B00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E6"/>
    <w:rsid w:val="00684FAB"/>
    <w:rsid w:val="00B0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2583"/>
  <w15:chartTrackingRefBased/>
  <w15:docId w15:val="{D4179731-A641-4543-B68F-9670D344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2026-01-28T17:24:00Z</dcterms:created>
  <dcterms:modified xsi:type="dcterms:W3CDTF">2026-01-28T17:25:00Z</dcterms:modified>
</cp:coreProperties>
</file>