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color w:val="0088A3"/>
          <w:sz w:val="20"/>
          <w:szCs w:val="20"/>
        </w:rPr>
        <w:t xml:space="preserve">NEWHAM TECHNOLOGICAL SOLUTIONS</w:t>
      </w:r>
    </w:p>
    <w:p>
      <w:pPr>
        <w:pBdr>
          <w:bottom w:val="single" w:color="005D6C" w:sz="6" w:space="12"/>
        </w:pBdr>
        <w:spacing w:after="10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Construction Engineering Services</w:t>
      </w:r>
    </w:p>
    <w:p>
      <w:pPr>
        <w:spacing w:after="100" w:before="300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Landing Page Content &amp; Strategy Document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Pillar 2 — Fire Protection Design &amp; Commercial Project Support</w:t>
      </w:r>
    </w:p>
    <w:p>
      <w:pPr>
        <w:spacing w:before="1600"/>
      </w:pPr>
    </w:p>
    <w:p>
      <w:r>
        <w:rPr>
          <w:rFonts w:ascii="Arial" w:cs="Arial" w:eastAsia="Arial" w:hAnsi="Arial"/>
          <w:color w:val="666666"/>
          <w:sz w:val="20"/>
          <w:szCs w:val="20"/>
        </w:rPr>
        <w:t xml:space="preserve">Target Market: M&amp;E Contractors &amp; Engineering Consultants</w:t>
      </w:r>
    </w:p>
    <w:p>
      <w:r>
        <w:rPr>
          <w:rFonts w:ascii="Arial" w:cs="Arial" w:eastAsia="Arial" w:hAnsi="Arial"/>
          <w:color w:val="666666"/>
          <w:sz w:val="20"/>
          <w:szCs w:val="20"/>
        </w:rPr>
        <w:t xml:space="preserve">Positioning: Premium Domain-Specialist Partner</w:t>
      </w:r>
    </w:p>
    <w:p>
      <w:r>
        <w:rPr>
          <w:rFonts w:ascii="Arial" w:cs="Arial" w:eastAsia="Arial" w:hAnsi="Arial"/>
          <w:color w:val="666666"/>
          <w:sz w:val="20"/>
          <w:szCs w:val="20"/>
        </w:rPr>
        <w:t xml:space="preserve">Key Differentiators: Cost, Speed, Capacity Overflow</w:t>
      </w:r>
    </w:p>
    <w:p>
      <w:r>
        <w:rPr>
          <w:rFonts w:ascii="Arial" w:cs="Arial" w:eastAsia="Arial" w:hAnsi="Arial"/>
          <w:color w:val="666666"/>
          <w:sz w:val="20"/>
          <w:szCs w:val="20"/>
        </w:rPr>
        <w:t xml:space="preserve">Website: newhamtech.com/engineering-services</w:t>
      </w:r>
    </w:p>
    <w:p>
      <w:pPr>
        <w:spacing w:before="2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Document Version 1.0  |  March 2026</w:t>
      </w:r>
    </w:p>
    <w:p>
      <w:pPr>
        <w:sectPr>
          <w:pgSz w:w="11906" w:h="16838" w:orient="portrait"/>
          <w:pgMar w:top="1440" w:right="1260" w:bottom="1440" w:left="1260" w:header="708" w:footer="708" w:gutter="0"/>
          <w:pgNumType/>
          <w:docGrid w:linePitch="360"/>
        </w:sectPr>
      </w:pPr>
    </w:p>
    <w:p>
      <w:pPr>
        <w:pBdr>
          <w:bottom w:val="single" w:color="005D6C" w:sz="4" w:space="8"/>
        </w:pBdr>
        <w:spacing w:after="200" w:before="400"/>
      </w:pPr>
      <w:r>
        <w:rPr>
          <w:rFonts w:ascii="Arial" w:cs="Arial" w:eastAsia="Arial" w:hAnsi="Arial"/>
          <w:b/>
          <w:bCs/>
          <w:color w:val="005D6C"/>
          <w:sz w:val="28"/>
          <w:szCs w:val="28"/>
        </w:rPr>
        <w:t xml:space="preserve">HERO SECTION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Headline: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Construction Engineering Services. Specialist Delivery. Offshore Efficiency.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Subheadline: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Newham provides M&amp;E contractors and engineering consultants with two things they never have enough of — fire protection design capability and commercial project support. Singapore-code compliant. Delivered fast. At a fraction of local cost.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CTA: </w:t>
      </w:r>
      <w:r>
        <w:rPr>
          <w:rFonts w:ascii="Arial" w:cs="Arial" w:eastAsia="Arial" w:hAnsi="Arial"/>
          <w:b/>
          <w:bCs/>
          <w:color w:val="005D6C"/>
          <w:sz w:val="22"/>
          <w:szCs w:val="22"/>
        </w:rPr>
        <w:t xml:space="preserve">Book a Discovery Call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Supporting line: Design. Estimation. Tender support. QS. Document control. All under one roof.</w:t>
      </w:r>
    </w:p>
    <w:p>
      <w:pPr>
        <w:pBdr>
          <w:bottom w:val="single" w:color="005D6C" w:sz="4" w:space="8"/>
        </w:pBdr>
        <w:spacing w:after="200" w:before="400"/>
      </w:pPr>
      <w:r>
        <w:rPr>
          <w:rFonts w:ascii="Arial" w:cs="Arial" w:eastAsia="Arial" w:hAnsi="Arial"/>
          <w:b/>
          <w:bCs/>
          <w:color w:val="005D6C"/>
          <w:sz w:val="28"/>
          <w:szCs w:val="28"/>
        </w:rPr>
        <w:t xml:space="preserve">PROBLEM SECTION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Section Heading: Your Team Is Stretched. Your Pipeline Won’t Wait.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Design bottlenecks kill timelines. 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FP drawings and hydraulic calcs pile up while your engineers juggle coordination meetings, site visits, and submissions.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Commercial tasks eat your margins. 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BOQs are rushed, tender queries slip through cracks, variation claims aren’t maximized, and document submissions miss deadlines.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Hiring for both is unrealistic. 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You’d need a dedicated FP designer, an estimator, a QS, and a document controller. For most M&amp;E firms, that headcount doesn’t make sense year-round.</w:t>
      </w:r>
    </w:p>
    <w:p>
      <w:pPr>
        <w:pBdr>
          <w:bottom w:val="single" w:color="005D6C" w:sz="4" w:space="8"/>
        </w:pBdr>
        <w:spacing w:after="200" w:before="400"/>
      </w:pPr>
      <w:r>
        <w:rPr>
          <w:rFonts w:ascii="Arial" w:cs="Arial" w:eastAsia="Arial" w:hAnsi="Arial"/>
          <w:b/>
          <w:bCs/>
          <w:color w:val="005D6C"/>
          <w:sz w:val="28"/>
          <w:szCs w:val="28"/>
        </w:rPr>
        <w:t xml:space="preserve">SOLUTION SECTION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Section Heading: Two Specialist Teams. One Partner.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Newham delivers two distinct service streams — fire protection design and commercial project support — each staffed by domain-trained professionals. Engage one or both. Scale up for project peaks. Scale down when the workload eases.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8"/>
        <w:gridCol w:w="3128"/>
        <w:gridCol w:w="3130"/>
      </w:tblGrid>
      <w:tr>
        <w:tc>
          <w:tcPr>
            <w:tcW w:type="dxa" w:w="3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5D6C"/>
                <w:sz w:val="22"/>
                <w:szCs w:val="22"/>
              </w:rPr>
              <w:t xml:space="preserve">50–70% Cost Reduction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Singapore-standard engineering output at offshore rates. No recruitment costs, no bench time, no overhead.</w:t>
            </w:r>
          </w:p>
        </w:tc>
        <w:tc>
          <w:tcPr>
            <w:tcW w:type="dxa" w:w="3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5D6C"/>
                <w:sz w:val="22"/>
                <w:szCs w:val="22"/>
              </w:rPr>
              <w:t xml:space="preserve">5-Day Turnaround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Sprinkler layouts, hydraulic calcs, BOQs, tender compilations — delivered in days, not weeks.</w:t>
            </w:r>
          </w:p>
        </w:tc>
        <w:tc>
          <w:tcPr>
            <w:tcW w:type="dxa" w:w="31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5D6C"/>
                <w:sz w:val="22"/>
                <w:szCs w:val="22"/>
              </w:rPr>
              <w:t xml:space="preserve">Capacity On Tap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Scale from one system to ten without hiring. Add capacity instantly and release when workload drops.</w:t>
            </w:r>
          </w:p>
        </w:tc>
      </w:tr>
    </w:tbl>
    <w:p>
      <w:r>
        <w:br w:type="page"/>
      </w:r>
    </w:p>
    <w:p>
      <w:pPr>
        <w:pBdr>
          <w:bottom w:val="single" w:color="005D6C" w:sz="4" w:space="8"/>
        </w:pBdr>
        <w:spacing w:after="200" w:before="400"/>
      </w:pPr>
      <w:r>
        <w:rPr>
          <w:rFonts w:ascii="Arial" w:cs="Arial" w:eastAsia="Arial" w:hAnsi="Arial"/>
          <w:b/>
          <w:bCs/>
          <w:color w:val="005D6C"/>
          <w:sz w:val="28"/>
          <w:szCs w:val="28"/>
        </w:rPr>
        <w:t xml:space="preserve">SERVICE STREAM 1 — FIRE PROTECTION DESIGN &amp; CALCULATIONS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Specialist FP design services for contractors and consultants. All deliverables produced to Singapore codes and formatted for authority submission.</w:t>
      </w:r>
    </w:p>
    <w:p>
      <w:pPr>
        <w:pStyle w:val="Heading3"/>
      </w:pPr>
      <w:r>
        <w:t xml:space="preserve">Sprinkler System Design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System layout, head placement, pipe routing, zoning, riser diagrams. Designed to SS CP 52 and NFPA 13. All hazard classifications — ordinary, high hazard, residential, ESFR.</w:t>
      </w:r>
    </w:p>
    <w:p>
      <w:pPr>
        <w:pStyle w:val="Heading3"/>
      </w:pPr>
      <w:r>
        <w:t xml:space="preserve">Hydraulic Calculations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Full hydraulic analysis per SS CP 52 / NFPA. Node-by-node calculations, demand vs supply verification, residual pressure analysis. Submission-ready reports.</w:t>
      </w:r>
    </w:p>
    <w:p>
      <w:pPr>
        <w:pStyle w:val="Heading3"/>
      </w:pPr>
      <w:r>
        <w:t xml:space="preserve">Fire Pump Design &amp; Selection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Pump sizing, duty/standby configuration, pressure-flow curve analysis, pump room layouts. Electric, diesel, and jockey pump specifications.</w:t>
      </w:r>
    </w:p>
    <w:p>
      <w:pPr>
        <w:pStyle w:val="Heading3"/>
      </w:pPr>
      <w:r>
        <w:t xml:space="preserve">Fire Alarm System Design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Detection layout, zone planning, loop design, cause-and-effect matrices, panel specifications. SS CP 10 / BS 5839. Conventional and addressable systems.</w:t>
      </w:r>
    </w:p>
    <w:p>
      <w:pPr>
        <w:pStyle w:val="Heading3"/>
      </w:pPr>
      <w:r>
        <w:t xml:space="preserve">Gas Suppression System Design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Clean agent (FM-200, Novec 1230) and inert gas systems. Room integrity, agent quantity calculations, pipe network sizing, nozzle placement.</w:t>
      </w:r>
    </w:p>
    <w:p>
      <w:pPr>
        <w:pStyle w:val="Heading3"/>
      </w:pPr>
      <w:r>
        <w:t xml:space="preserve">Wet Riser &amp; Dry Riser Design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Riser sizing, landing valve placement, inlet/outlet configurations, breeching inlet locations. SS CP 52 compliant.</w:t>
      </w:r>
    </w:p>
    <w:p>
      <w:pPr>
        <w:pStyle w:val="Heading3"/>
      </w:pPr>
      <w:r>
        <w:t xml:space="preserve">Hose Reel System Design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Coverage planning, pipe sizing, flow and pressure analysis. Integrated with overall FP hydraulic design.</w:t>
      </w:r>
    </w:p>
    <w:p>
      <w:pPr>
        <w:pStyle w:val="Heading3"/>
      </w:pPr>
      <w:r>
        <w:t xml:space="preserve">Submission Drawing Packages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Complete drawing sets — floor plans, riser diagrams, schematics, details, legends, schedules. AutoCAD/Revit. Singapore submission format. PE endorsement coordination available.</w:t>
      </w:r>
    </w:p>
    <w:p>
      <w:r>
        <w:br w:type="page"/>
      </w:r>
    </w:p>
    <w:p>
      <w:pPr>
        <w:pBdr>
          <w:bottom w:val="single" w:color="005D6C" w:sz="4" w:space="8"/>
        </w:pBdr>
        <w:spacing w:after="200" w:before="400"/>
      </w:pPr>
      <w:r>
        <w:rPr>
          <w:rFonts w:ascii="Arial" w:cs="Arial" w:eastAsia="Arial" w:hAnsi="Arial"/>
          <w:b/>
          <w:bCs/>
          <w:color w:val="005D6C"/>
          <w:sz w:val="28"/>
          <w:szCs w:val="28"/>
        </w:rPr>
        <w:t xml:space="preserve">SERVICE STREAM 2 — COMMERCIAL &amp; TENDER SUPPORT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End-to-end commercial and tender functions for M&amp;E contractors. From first tender to final account — we handle the paperwork so your project teams can focus on delivery.</w:t>
      </w:r>
    </w:p>
    <w:p>
      <w:pPr>
        <w:pStyle w:val="Heading3"/>
      </w:pPr>
      <w:r>
        <w:t xml:space="preserve">Estimation &amp; BOQ Preparation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Material and labour quantity takeoffs, BOQ compilation, rate build-up, pricing sheets, cost summaries. Covers all M&amp;E trades — fire protection, ACMV, ELV, plumbing, electrical.</w:t>
      </w:r>
    </w:p>
    <w:p>
      <w:pPr>
        <w:pStyle w:val="Heading3"/>
      </w:pPr>
      <w:r>
        <w:t xml:space="preserve">Tender Query &amp; Addendum Processing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RFI drafting, tender clarification tracking, addendum review and compliance marking, scope gap analysis.</w:t>
      </w:r>
    </w:p>
    <w:p>
      <w:pPr>
        <w:pStyle w:val="Heading3"/>
      </w:pPr>
      <w:r>
        <w:t xml:space="preserve">Document Control &amp; Submission Management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Drawing registers, transmittal logs, submission tracking, revision control, filing systems.</w:t>
      </w:r>
    </w:p>
    <w:p>
      <w:pPr>
        <w:pStyle w:val="Heading3"/>
      </w:pPr>
      <w:r>
        <w:t xml:space="preserve">Project QS / Cost Tracking &amp; Variations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Cost monitoring, budget vs actual tracking, variation identification and pricing, subcontractor claim verification, interim payment valuations.</w:t>
      </w:r>
    </w:p>
    <w:p>
      <w:pPr>
        <w:pStyle w:val="Heading3"/>
      </w:pPr>
      <w:r>
        <w:t xml:space="preserve">Progress Claims &amp; Payment Certification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Monthly progress claim preparation, valuation calculations, supporting documentation compilation, payment tracking.</w:t>
      </w:r>
    </w:p>
    <w:p>
      <w:pPr>
        <w:pBdr>
          <w:bottom w:val="single" w:color="005D6C" w:sz="4" w:space="8"/>
        </w:pBdr>
        <w:spacing w:after="200" w:before="400"/>
      </w:pPr>
      <w:r>
        <w:rPr>
          <w:rFonts w:ascii="Arial" w:cs="Arial" w:eastAsia="Arial" w:hAnsi="Arial"/>
          <w:b/>
          <w:bCs/>
          <w:color w:val="005D6C"/>
          <w:sz w:val="28"/>
          <w:szCs w:val="28"/>
        </w:rPr>
        <w:t xml:space="preserve">HOW IT WORKS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Section Heading: Live in 2 Weeks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86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D6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</w:t>
            </w:r>
          </w:p>
        </w:tc>
        <w:tc>
          <w:tcPr>
            <w:tcW w:type="dxa" w:w="75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Discovery Call — Share your current workload, pain points, and project pipeline. We recommend the right service mix. (30 mins)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8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2</w:t>
            </w:r>
          </w:p>
        </w:tc>
        <w:tc>
          <w:tcPr>
            <w:tcW w:type="dxa" w:w="75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Scope &amp; Proposal — We confirm deliverables, timelines, team composition, and pricing in writing. No ambiguity.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D6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3</w:t>
            </w:r>
          </w:p>
        </w:tc>
        <w:tc>
          <w:tcPr>
            <w:tcW w:type="dxa" w:w="75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Onboarding — Your Newham team gets trained on your standards, templates, naming conventions, and tools. (1–2 weeks)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8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4</w:t>
            </w:r>
          </w:p>
        </w:tc>
        <w:tc>
          <w:tcPr>
            <w:tcW w:type="dxa" w:w="75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Delivery — Consistent output, revision cycles built in, monthly reviews to adjust capacity up or down.</w:t>
            </w:r>
          </w:p>
        </w:tc>
      </w:tr>
    </w:tbl>
    <w:p>
      <w:pPr>
        <w:spacing w:before="400"/>
      </w:pPr>
    </w:p>
    <w:p>
      <w:pPr>
        <w:pBdr>
          <w:bottom w:val="single" w:color="005D6C" w:sz="4" w:space="8"/>
        </w:pBdr>
        <w:spacing w:after="200" w:before="400"/>
      </w:pPr>
      <w:r>
        <w:rPr>
          <w:rFonts w:ascii="Arial" w:cs="Arial" w:eastAsia="Arial" w:hAnsi="Arial"/>
          <w:b/>
          <w:bCs/>
          <w:color w:val="005D6C"/>
          <w:sz w:val="28"/>
          <w:szCs w:val="28"/>
        </w:rPr>
        <w:t xml:space="preserve">PE ENDORSEMENT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Newham delivers the design. For statutory submissions requiring PE endorsement, we work with our network of Singapore-registered Professional Engineers who review and stamp the work. You get a complete, submission-ready package — design plus endorsement — without managing two separate vendors.</w:t>
      </w:r>
    </w:p>
    <w:p>
      <w:pPr>
        <w:pBdr>
          <w:bottom w:val="single" w:color="005D6C" w:sz="4" w:space="8"/>
        </w:pBdr>
        <w:spacing w:after="200" w:before="400"/>
      </w:pPr>
      <w:r>
        <w:rPr>
          <w:rFonts w:ascii="Arial" w:cs="Arial" w:eastAsia="Arial" w:hAnsi="Arial"/>
          <w:b/>
          <w:bCs/>
          <w:color w:val="005D6C"/>
          <w:sz w:val="28"/>
          <w:szCs w:val="28"/>
        </w:rPr>
        <w:t xml:space="preserve">TARGET CLIENTS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Section Heading: Built For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M&amp;E Contractors Without Dedicated FP or Commercial Teams — 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You win projects but struggle to staff the design and admin functions. Newham fills those gaps project by project or on retainer.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Engineering Consultants With Overflow — 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You have capability but not capacity during peak periods. Newham absorbs your overflow at a fraction of hiring cost.</w:t>
      </w:r>
    </w:p>
    <w:p>
      <w:r>
        <w:br w:type="page"/>
      </w:r>
    </w:p>
    <w:p>
      <w:pPr>
        <w:pBdr>
          <w:bottom w:val="single" w:color="005D6C" w:sz="4" w:space="8"/>
        </w:pBdr>
        <w:spacing w:after="200" w:before="400"/>
      </w:pPr>
      <w:r>
        <w:rPr>
          <w:rFonts w:ascii="Arial" w:cs="Arial" w:eastAsia="Arial" w:hAnsi="Arial"/>
          <w:b/>
          <w:bCs/>
          <w:color w:val="005D6C"/>
          <w:sz w:val="28"/>
          <w:szCs w:val="28"/>
        </w:rPr>
        <w:t xml:space="preserve">PRICING — FIRE PROTECTION DESIGN</w:t>
      </w:r>
    </w:p>
    <w:p>
      <w:pPr>
        <w:pStyle w:val="Heading2"/>
      </w:pPr>
      <w:r>
        <w:t xml:space="preserve">Retainer Model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8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D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D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Fee (SGD)</w:t>
            </w:r>
          </w:p>
        </w:tc>
        <w:tc>
          <w:tcPr>
            <w:tcW w:type="dxa" w:w="4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D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Starter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3,000–4,500</w:t>
            </w:r>
          </w:p>
        </w:tc>
        <w:tc>
          <w:tcPr>
            <w:tcW w:type="dxa" w:w="4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FP engineer, ~160 hrs/mo. 2–3 small-medium projects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Growth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6,000–8,500</w:t>
            </w:r>
          </w:p>
        </w:tc>
        <w:tc>
          <w:tcPr>
            <w:tcW w:type="dxa" w:w="4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engineers (senior + drafter), ~320 hrs/mo. Steady pipeline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Scale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12,000–16,000</w:t>
            </w:r>
          </w:p>
        </w:tc>
        <w:tc>
          <w:tcPr>
            <w:tcW w:type="dxa" w:w="4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4-person team, ~640 hrs/mo. Full FP design department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Project-Based Model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31"/>
        <w:gridCol w:w="3755"/>
      </w:tblGrid>
      <w:tr>
        <w:tc>
          <w:tcPr>
            <w:tcW w:type="dxa" w:w="56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D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D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Indicative Price (SGD)</w:t>
            </w:r>
          </w:p>
        </w:tc>
      </w:tr>
      <w:tr>
        <w:tc>
          <w:tcPr>
            <w:tcW w:type="dxa" w:w="56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Sprinkler design (per floor/zone)</w:t>
            </w:r>
          </w:p>
        </w:tc>
        <w:tc>
          <w:tcPr>
            <w:tcW w:type="dxa" w:w="3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800–2,000</w:t>
            </w:r>
          </w:p>
        </w:tc>
      </w:tr>
      <w:tr>
        <w:tc>
          <w:tcPr>
            <w:tcW w:type="dxa" w:w="56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Hydraulic calculation report</w:t>
            </w:r>
          </w:p>
        </w:tc>
        <w:tc>
          <w:tcPr>
            <w:tcW w:type="dxa" w:w="3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500–1,500</w:t>
            </w:r>
          </w:p>
        </w:tc>
      </w:tr>
      <w:tr>
        <w:tc>
          <w:tcPr>
            <w:tcW w:type="dxa" w:w="56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Fire pump design &amp; selection</w:t>
            </w:r>
          </w:p>
        </w:tc>
        <w:tc>
          <w:tcPr>
            <w:tcW w:type="dxa" w:w="3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600–1,200</w:t>
            </w:r>
          </w:p>
        </w:tc>
      </w:tr>
      <w:tr>
        <w:tc>
          <w:tcPr>
            <w:tcW w:type="dxa" w:w="56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Fire alarm system design (per floor/zone)</w:t>
            </w:r>
          </w:p>
        </w:tc>
        <w:tc>
          <w:tcPr>
            <w:tcW w:type="dxa" w:w="3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600–1,500</w:t>
            </w:r>
          </w:p>
        </w:tc>
      </w:tr>
      <w:tr>
        <w:tc>
          <w:tcPr>
            <w:tcW w:type="dxa" w:w="56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Gas suppression design (per room)</w:t>
            </w:r>
          </w:p>
        </w:tc>
        <w:tc>
          <w:tcPr>
            <w:tcW w:type="dxa" w:w="3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800–1,800</w:t>
            </w:r>
          </w:p>
        </w:tc>
      </w:tr>
      <w:tr>
        <w:tc>
          <w:tcPr>
            <w:tcW w:type="dxa" w:w="56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Wet/dry riser design</w:t>
            </w:r>
          </w:p>
        </w:tc>
        <w:tc>
          <w:tcPr>
            <w:tcW w:type="dxa" w:w="3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500–1,000</w:t>
            </w:r>
          </w:p>
        </w:tc>
      </w:tr>
      <w:tr>
        <w:tc>
          <w:tcPr>
            <w:tcW w:type="dxa" w:w="56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FP package (typical building)</w:t>
            </w:r>
          </w:p>
        </w:tc>
        <w:tc>
          <w:tcPr>
            <w:tcW w:type="dxa" w:w="3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5,000–15,000</w:t>
            </w:r>
          </w:p>
        </w:tc>
      </w:tr>
      <w:tr>
        <w:tc>
          <w:tcPr>
            <w:tcW w:type="dxa" w:w="56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 endorsement coordination</w:t>
            </w:r>
          </w:p>
        </w:tc>
        <w:tc>
          <w:tcPr>
            <w:tcW w:type="dxa" w:w="3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1,500–3,000 (pass-through)</w:t>
            </w:r>
          </w:p>
        </w:tc>
      </w:tr>
    </w:tbl>
    <w:p>
      <w:pPr>
        <w:spacing w:after="200" w:before="200"/>
        <w:jc w:val="left"/>
      </w:pPr>
      <w:r>
        <w:rPr>
          <w:rFonts w:ascii="Arial" w:cs="Arial" w:eastAsia="Arial" w:hAnsi="Arial"/>
          <w:b/>
          <w:bCs/>
          <w:color w:val="005D6C"/>
          <w:sz w:val="22"/>
          <w:szCs w:val="22"/>
        </w:rPr>
        <w:t xml:space="preserve">Hybrid: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Base retainer + project top-ups at 15–20% discount off project rates.</w:t>
      </w:r>
    </w:p>
    <w:p>
      <w:r>
        <w:br w:type="page"/>
      </w:r>
    </w:p>
    <w:p>
      <w:pPr>
        <w:pBdr>
          <w:bottom w:val="single" w:color="005D6C" w:sz="4" w:space="8"/>
        </w:pBdr>
        <w:spacing w:after="200" w:before="400"/>
      </w:pPr>
      <w:r>
        <w:rPr>
          <w:rFonts w:ascii="Arial" w:cs="Arial" w:eastAsia="Arial" w:hAnsi="Arial"/>
          <w:b/>
          <w:bCs/>
          <w:color w:val="005D6C"/>
          <w:sz w:val="28"/>
          <w:szCs w:val="28"/>
        </w:rPr>
        <w:t xml:space="preserve">PRICING — COMMERCIAL &amp; TENDER SUPPORT</w:t>
      </w:r>
    </w:p>
    <w:p>
      <w:pPr>
        <w:pStyle w:val="Heading2"/>
      </w:pPr>
      <w:r>
        <w:t xml:space="preserve">Retainer Model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8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D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D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Fee (SGD)</w:t>
            </w:r>
          </w:p>
        </w:tc>
        <w:tc>
          <w:tcPr>
            <w:tcW w:type="dxa" w:w="4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D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Starter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2,500–3,500</w:t>
            </w:r>
          </w:p>
        </w:tc>
        <w:tc>
          <w:tcPr>
            <w:tcW w:type="dxa" w:w="4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commercial executive, ~160 hrs/mo. Tender support + doc control for 2–3 active projects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Growth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5,000–7,000</w:t>
            </w:r>
          </w:p>
        </w:tc>
        <w:tc>
          <w:tcPr>
            <w:tcW w:type="dxa" w:w="4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resources (estimator + doc controller/QS), ~320 hrs/mo. Full tender + project commercial support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Scale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10,000–14,000</w:t>
            </w:r>
          </w:p>
        </w:tc>
        <w:tc>
          <w:tcPr>
            <w:tcW w:type="dxa" w:w="4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4-person team (senior estimator + QS + tender coord + doc controller), ~640 hrs/mo. Complete commercial back-office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Project-Based Model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31"/>
        <w:gridCol w:w="3755"/>
      </w:tblGrid>
      <w:tr>
        <w:tc>
          <w:tcPr>
            <w:tcW w:type="dxa" w:w="56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D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D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Indicative Price (SGD)</w:t>
            </w:r>
          </w:p>
        </w:tc>
      </w:tr>
      <w:tr>
        <w:tc>
          <w:tcPr>
            <w:tcW w:type="dxa" w:w="56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BOQ &amp; estimation (per tender)</w:t>
            </w:r>
          </w:p>
        </w:tc>
        <w:tc>
          <w:tcPr>
            <w:tcW w:type="dxa" w:w="3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1,500–4,000</w:t>
            </w:r>
          </w:p>
        </w:tc>
      </w:tr>
      <w:tr>
        <w:tc>
          <w:tcPr>
            <w:tcW w:type="dxa" w:w="56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Tender compilation &amp; submission</w:t>
            </w:r>
          </w:p>
        </w:tc>
        <w:tc>
          <w:tcPr>
            <w:tcW w:type="dxa" w:w="3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800–2,000</w:t>
            </w:r>
          </w:p>
        </w:tc>
      </w:tr>
      <w:tr>
        <w:tc>
          <w:tcPr>
            <w:tcW w:type="dxa" w:w="56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Tender query/addendum processing (per tender)</w:t>
            </w:r>
          </w:p>
        </w:tc>
        <w:tc>
          <w:tcPr>
            <w:tcW w:type="dxa" w:w="3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500–1,200</w:t>
            </w:r>
          </w:p>
        </w:tc>
      </w:tr>
      <w:tr>
        <w:tc>
          <w:tcPr>
            <w:tcW w:type="dxa" w:w="56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Document control setup (per project)</w:t>
            </w:r>
          </w:p>
        </w:tc>
        <w:tc>
          <w:tcPr>
            <w:tcW w:type="dxa" w:w="3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1,000–2,500</w:t>
            </w:r>
          </w:p>
        </w:tc>
      </w:tr>
      <w:tr>
        <w:tc>
          <w:tcPr>
            <w:tcW w:type="dxa" w:w="56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Monthly QS / cost tracking (per project)</w:t>
            </w:r>
          </w:p>
        </w:tc>
        <w:tc>
          <w:tcPr>
            <w:tcW w:type="dxa" w:w="3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1,500–3,000/mo</w:t>
            </w:r>
          </w:p>
        </w:tc>
      </w:tr>
      <w:tr>
        <w:tc>
          <w:tcPr>
            <w:tcW w:type="dxa" w:w="56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Progress claim preparation (per claim)</w:t>
            </w:r>
          </w:p>
        </w:tc>
        <w:tc>
          <w:tcPr>
            <w:tcW w:type="dxa" w:w="3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800–1,500</w:t>
            </w:r>
          </w:p>
        </w:tc>
      </w:tr>
      <w:tr>
        <w:tc>
          <w:tcPr>
            <w:tcW w:type="dxa" w:w="56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commercial package (tender to final account)</w:t>
            </w:r>
          </w:p>
        </w:tc>
        <w:tc>
          <w:tcPr>
            <w:tcW w:type="dxa" w:w="3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8,000–20,000</w:t>
            </w:r>
          </w:p>
        </w:tc>
      </w:tr>
    </w:tbl>
    <w:p>
      <w:pPr>
        <w:spacing w:after="200" w:before="200"/>
        <w:jc w:val="left"/>
      </w:pPr>
      <w:r>
        <w:rPr>
          <w:rFonts w:ascii="Arial" w:cs="Arial" w:eastAsia="Arial" w:hAnsi="Arial"/>
          <w:b/>
          <w:bCs/>
          <w:color w:val="005D6C"/>
          <w:sz w:val="22"/>
          <w:szCs w:val="22"/>
        </w:rPr>
        <w:t xml:space="preserve">Hybrid: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Base retainer + project top-ups at 15–20% discount. Recommended for firms with 3+ active projects.</w:t>
      </w:r>
    </w:p>
    <w:p>
      <w:pPr>
        <w:spacing w:before="400"/>
      </w:pPr>
    </w:p>
    <w:p>
      <w:pPr>
        <w:pBdr>
          <w:bottom w:val="single" w:color="005D6C" w:sz="4" w:space="8"/>
        </w:pBdr>
        <w:spacing w:after="200" w:before="400"/>
      </w:pPr>
      <w:r>
        <w:rPr>
          <w:rFonts w:ascii="Arial" w:cs="Arial" w:eastAsia="Arial" w:hAnsi="Arial"/>
          <w:b/>
          <w:bCs/>
          <w:color w:val="005D6C"/>
          <w:sz w:val="28"/>
          <w:szCs w:val="28"/>
        </w:rPr>
        <w:t xml:space="preserve">BUNDLE INCENTIVE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Use Both Streams? Save More.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Clients engaging both FP Design and Commercial Services receive 10% off the combined retainer. One team, one relationship, one invoice — covering your entire project back-office.</w:t>
      </w:r>
    </w:p>
    <w:p>
      <w:pPr>
        <w:pBdr>
          <w:bottom w:val="single" w:color="005D6C" w:sz="4" w:space="8"/>
        </w:pBdr>
        <w:spacing w:after="200" w:before="400"/>
      </w:pPr>
      <w:r>
        <w:rPr>
          <w:rFonts w:ascii="Arial" w:cs="Arial" w:eastAsia="Arial" w:hAnsi="Arial"/>
          <w:b/>
          <w:bCs/>
          <w:color w:val="005D6C"/>
          <w:sz w:val="28"/>
          <w:szCs w:val="28"/>
        </w:rPr>
        <w:t xml:space="preserve">PRICING PRINCIPLES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All prices in SGD, 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billed monthly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No recruitment fees, 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no setup fees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First engagement 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at 20% discount for new clients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Scope confirmed 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in writing before work begins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Revision cycles 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included within agreed scope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PE endorsement 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and any third-party fees quoted separately and transparently</w:t>
      </w:r>
    </w:p>
    <w:p>
      <w:r>
        <w:br w:type="page"/>
      </w:r>
    </w:p>
    <w:p>
      <w:pPr>
        <w:pBdr>
          <w:bottom w:val="single" w:color="005D6C" w:sz="4" w:space="8"/>
        </w:pBdr>
        <w:spacing w:after="200" w:before="400"/>
      </w:pPr>
      <w:r>
        <w:rPr>
          <w:rFonts w:ascii="Arial" w:cs="Arial" w:eastAsia="Arial" w:hAnsi="Arial"/>
          <w:b/>
          <w:bCs/>
          <w:color w:val="005D6C"/>
          <w:sz w:val="28"/>
          <w:szCs w:val="28"/>
        </w:rPr>
        <w:t xml:space="preserve">FINAL CALL TO ACTION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Headline: Your Engineering Back-Office Starts Here.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Subheadline: Book a 30-minute discovery call. Bring a live project brief if you have one — we’ll scope it on the spot.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Primary CTA: </w:t>
      </w:r>
      <w:r>
        <w:rPr>
          <w:rFonts w:ascii="Arial" w:cs="Arial" w:eastAsia="Arial" w:hAnsi="Arial"/>
          <w:b/>
          <w:bCs/>
          <w:color w:val="005D6C"/>
          <w:sz w:val="22"/>
          <w:szCs w:val="22"/>
        </w:rPr>
        <w:t xml:space="preserve">Book Your Discovery Call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Secondary: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Or email us at services@newhamtech.com</w:t>
      </w:r>
    </w:p>
    <w:p>
      <w:pPr>
        <w:spacing w:before="400"/>
      </w:pPr>
    </w:p>
    <w:p>
      <w:pPr>
        <w:pBdr>
          <w:bottom w:val="single" w:color="005D6C" w:sz="4" w:space="8"/>
        </w:pBdr>
        <w:spacing w:after="200" w:before="400"/>
      </w:pPr>
      <w:r>
        <w:rPr>
          <w:rFonts w:ascii="Arial" w:cs="Arial" w:eastAsia="Arial" w:hAnsi="Arial"/>
          <w:b/>
          <w:bCs/>
          <w:color w:val="005D6C"/>
          <w:sz w:val="28"/>
          <w:szCs w:val="28"/>
        </w:rPr>
        <w:t xml:space="preserve">DEVELOPMENT NOTES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Visual tone: 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Same design language as Pillar 1 page — premium, clean, professional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Navigation: 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Consider tabs or anchor links for Stream 1 / Stream 2 / Pricing sections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Sample deliverables: 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Add redacted sprinkler layout, hydraulic calc snippet, BOQ sample once available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Booking CTA: 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Same Calendly/Cal.com embed as Pillar 1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Mobile-first: 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Pricing tables should collapse to card layout on mobile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Pricing toggle: 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Consider a toggle between “Retainer” and “Project” views on the pricing section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Confidential  </w:t>
    </w: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b/>
        <w:bCs/>
        <w:color w:val="005D6C"/>
        <w:sz w:val="16"/>
        <w:szCs w:val="16"/>
      </w:rPr>
      <w:t xml:space="preserve">NEWHAM</w:t>
    </w:r>
    <w:r>
      <w:rPr>
        <w:rFonts w:ascii="Arial" w:cs="Arial" w:eastAsia="Arial" w:hAnsi="Arial"/>
        <w:color w:val="666666"/>
        <w:sz w:val="16"/>
        <w:szCs w:val="16"/>
      </w:rPr>
      <w:t xml:space="preserve">  |  Construction Engineering Services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05D6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088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2026-03-19T06:52:14.134Z</dcterms:created>
  <dcterms:modified xsi:type="dcterms:W3CDTF">2026-03-19T06:52:14.135Z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