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2563EB"/>
          <w:sz w:val="32"/>
          <w:szCs w:val="32"/>
        </w:rPr>
        <w:t xml:space="preserve">VOXLINGUA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Critical &amp; Necessity Constraints</w:t>
      </w:r>
    </w:p>
    <w:p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UI/UX &amp; Frontend Engineering Baseline — VoxLingua Multilingual Audio Dashboard</w:t>
      </w:r>
    </w:p>
    <w:p>
      <w:pPr>
        <w:jc w:val="center"/>
      </w:pPr>
      <w:r>
        <w:rPr>
          <w:b/>
          <w:bCs/>
          <w:color w:val="EF4444"/>
          <w:sz w:val="20"/>
          <w:szCs w:val="20"/>
        </w:rPr>
        <w:t xml:space="preserve">[CONFIDENTIAL — FOR INTERNAL DEVELOPMENT ONLY]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1. Purpose and Scope</w:t>
      </w:r>
    </w:p>
    <w:p>
      <w:pPr>
        <w:spacing w:after="160"/>
      </w:pPr>
      <w:r>
        <w:t xml:space="preserve">This document expands the original constraints brief into a fully specified engineering baseline for the VoxLingua frontend. It exists to remove ambiguity: every constraint below is written so that a developer, a QA tester, and an automated CI check can each verify compliance independently. Constraints are grouped into four domains — layout, network, state management, and accessibility — mirroring the structure of the original brief, with each domain expanded to include rationale, implementation guidance, edge cases, and verification criteria.</w:t>
      </w:r>
    </w:p>
    <w:p>
      <w:pPr>
        <w:spacing w:after="160"/>
      </w:pPr>
      <w:r>
        <w:t xml:space="preserve">These constraints are non-negotiable release gates. A build that violates any 'MUST' rule below is blocked from merging to the main branch regardless of feature completeness.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2. Hardware &amp; Screen Layout Boundaries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2.1 Fluid Range and Rationale</w:t>
      </w:r>
    </w:p>
    <w:p>
      <w:pPr>
        <w:spacing w:after="160"/>
      </w:pPr>
      <w:r>
        <w:t xml:space="preserve">The interface must render without horizontal scrolling across a continuous width range of 320px (smallest supported phones, e.g. iPhone SE) up to 2560px (QHD ultra-wide monitors). This range was chosen from VoxLingua's target user base of language researchers and interpreters, many of whom work on multi-monitor desktop rigs alongside field technicians using budget Android devices.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MUST: no element may force page width beyond the viewport at any breakpoint.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MUST: use CSS clamp() or Tailwind's responsive prefixes rather than fixed pixel widths for containers.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SHOULD: cap the reading viewport's line length at ~75 characters for legibility on ultra-wide screens using max-w-prose or an equivalent token.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2.2 Breakpoint Table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000"/>
      </w:tblGrid>
      <w:tr>
        <w:trPr>
          <w:tblHeader/>
        </w:trPr>
        <w:tc>
          <w:tcPr>
            <w:tcW w:type="dxa" w:w="22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50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Layout Behavior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 640px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column stack; drop-zone and transcript panels render sequentially, not side-by-side.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640px – 1024px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Two-column grid activates for transcript panels; drop-zone remains full width above the fold.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Desktop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&gt; 1024px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three-region layout: header, drop-zone/history sidebar, twin transcript viewports.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2.3 Layout Stability (CLS)</w:t>
      </w:r>
    </w:p>
    <w:p>
      <w:pPr>
        <w:spacing w:after="160"/>
      </w:pPr>
      <w:r>
        <w:t xml:space="preserve">Cumulative Layout Shift must stay below 0.1 (Google's 'Good' threshold). This is achieved through: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Explicit aspect-ratio CSS on every media or waveform-preview block, even before the audio metadata is known.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Skeleton placeholders sized to match the eventual content's real dimensions — never a collapsed 0-height placeholder that later expands.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Reserving vertical space for the twin-language transcript panels immediately on file acceptance, before the backend has returned any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Font loading strategy (see Section 5) that avoids invisible-text flashes which can shift line counts.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3. Network &amp; Upload Throttling Limits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3.1 File Size Enforcement</w:t>
      </w:r>
    </w:p>
    <w:p>
      <w:pPr>
        <w:spacing w:after="160"/>
      </w:pPr>
      <w:r>
        <w:t xml:space="preserve">All uploads greater than 10MB must be rejected client-side before any multipart request is initiated. This protects both user bandwidth and backend queue stability. The check must read the File object's .size property synchronously at selection/drop time — never rely on server-side rejection alone, since that would waste upload bandwidth on connections that are already constrained.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3.2 Accepted File Types</w:t>
      </w:r>
    </w:p>
    <w:p>
      <w:pPr>
        <w:spacing w:after="160"/>
      </w:pPr>
      <w:r>
        <w:t xml:space="preserve">The drop-zone and file picker must restrict selection to the following MIME types only: audio/wav, audio/mpeg, audio/mp4, audio/x-m4a. Both the HTML accept attribute and a JavaScript MIME-type check are required in combination, because the accept attribute alone can be bypassed by drag-and-drop from a file manager.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800"/>
      </w:tblGrid>
      <w:tr>
        <w:trPr>
          <w:tblHeader/>
        </w:trPr>
        <w:tc>
          <w:tcPr>
            <w:tcW w:type="dxa" w:w="2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MIME Type</w:t>
            </w:r>
          </w:p>
        </w:tc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Extension</w:t>
            </w:r>
          </w:p>
        </w:tc>
        <w:tc>
          <w:tcPr>
            <w:tcW w:type="dxa" w:w="48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audio/wav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.wav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Uncompressed; largest average file size — most likely to trigger the 10MB cap.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audio/mpeg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.mp3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Most common upload type expected from field recorders.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audio/mp4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.mp4 / .m4a container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 be validated against audio-only, reject video-containing mp4.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audio/x-m4a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.m4a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Common iOS voice-memo export format.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3.3 Timeout &amp; Failure-Safe Behavior</w:t>
      </w:r>
    </w:p>
    <w:p>
      <w:pPr>
        <w:spacing w:after="160"/>
      </w:pPr>
      <w:r>
        <w:t xml:space="preserve">If an upload stalls for more than 45 seconds (measured from the last byte-progress event, not from request start), the client must: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Abort the underlying XHR/fetch request via AbortController.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Flush any partially buffered chunks from memory to avoid retaining stale binary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the exact warning token: "Connection Timeout - Please retry upload".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Re-enable the drop-zone and file selector immediately after the abort completes.</w:t>
      </w:r>
    </w:p>
    <w:p>
      <w:pPr>
        <w:spacing w:after="160"/>
      </w:pPr>
      <w:r>
        <w:t xml:space="preserve">Edge case handling: if the stall occurs during the final 1–2% of upload (i.e., byte count is nearly complete), the same 45-second rule still applies — there is no partial-completion exception, since a stalled final chunk is indistinguishable from a dead connection at the client.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4. State Management &amp; Event Lockouts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4.1 Processing Lockout</w:t>
      </w:r>
    </w:p>
    <w:p>
      <w:pPr>
        <w:spacing w:after="160"/>
      </w:pPr>
      <w:r>
        <w:t xml:space="preserve">While a file is in the 'processing' state, the upload button, drop-zone, and file selector must all carry the disabled attribute driven from a single source-of-truth boolean (isProcessing), not three independently toggled flags. This prevents drift where one control re-enables before the others.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4.2 Concurrency Rule</w:t>
      </w:r>
    </w:p>
    <w:p>
      <w:pPr>
        <w:spacing w:after="160"/>
      </w:pPr>
      <w:r>
        <w:t xml:space="preserve">Only one audio file may be processed per UI session at a time. A second drag-and-drop attempt while isProcessing is true must be rejected at the drop handler with a lightweight inline toast — it should not silently queue, since VoxLingua's backend does not currently support job queuing per session.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4.3 Recovery from Lockout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completed job (success or error) must clear isProcessing before any new upload is accepted.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browser refresh or tab close during processing must not leave a persisted 'stuck' state — client state is session-only and does not survive reload, by design.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5. Local Accessibility &amp; Rendering Rules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5.1 Font Loading Fail-Safe</w:t>
      </w:r>
    </w:p>
    <w:p>
      <w:pPr>
        <w:spacing w:after="160"/>
      </w:pPr>
      <w:r>
        <w:t xml:space="preserve">If the remote 'Inter' font (or any custom asset) has not loaded within 1.5 seconds, the system must fall back immediately to the local sans-serif system font stack. This is implemented via the font-display: swap descriptor combined with a JS-based timeout watchdog for environments where swap timing is inconsistent.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5.2 Contrast &amp; WCAG 2.1 AA</w:t>
      </w:r>
    </w:p>
    <w:p>
      <w:pPr>
        <w:spacing w:after="160"/>
      </w:pPr>
      <w:r>
        <w:t xml:space="preserve">All standard body text must maintain a minimum 4.5:1 contrast ratio against its background. Given the dark slate-900 (#0F172A) background, the slate-50 (#F8FAFC) text token satisfies this requirement by a wide margin; any secondary or muted text token (slate-400, #94A3B8) must be re-checked whenever used at small sizes, since 4.5:1 is the threshold for text under 18pt (or 14pt bold).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 text (18pt+/14pt bold+) may use the lower 3:1 AA threshold, but VoxLingua defaults to 4.5:1 everywhere for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interactive control (buttons, drop-zone) must also meet 3:1 contrast for its visible boundary against the adjacent background, per WCAG 1.4.11.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6. Verification Checklist</w:t>
      </w:r>
    </w:p>
    <w:p>
      <w:pPr>
        <w:spacing w:after="160"/>
      </w:pPr>
      <w:r>
        <w:t xml:space="preserve">Before any release candidate is tagged, the following must be confirmed and recorded in the release notes: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resize test from 320px to 2560px with no horizontal scrollbar appearing at any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Lighthouse CLS score &lt; 0.1 on the main dashboard route.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rejection test with an 11MB file and with a disallowed MIME type (e.g., video/mp4).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Simulated network throttling to confirm the 45-second timeout token fires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axe-core accessibility scan with zero critical contrast violations.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2026-07-06T04:17:10.415Z</dcterms:created>
  <dcterms:modified xsi:type="dcterms:W3CDTF">2026-07-06T04:17:10.415Z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