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jc w:val="center"/>
      </w:pPr>
      <w:r>
        <w:rPr>
          <w:b/>
          <w:bCs/>
          <w:color w:val="2563EB"/>
          <w:sz w:val="32"/>
          <w:szCs w:val="32"/>
        </w:rPr>
        <w:t xml:space="preserve">VOXLINGUA</w:t>
      </w:r>
    </w:p>
    <w:p>
      <w:pPr>
        <w:spacing w:after="400"/>
        <w:jc w:val="center"/>
      </w:pPr>
      <w:r>
        <w:rPr>
          <w:b/>
          <w:bCs/>
          <w:sz w:val="44"/>
          <w:szCs w:val="44"/>
        </w:rPr>
        <w:t xml:space="preserve">Standard Operating Procedure</w:t>
      </w:r>
    </w:p>
    <w:p>
      <w:pPr>
        <w:spacing w:after="800"/>
        <w:jc w:val="center"/>
      </w:pPr>
      <w:r>
        <w:rPr>
          <w:i/>
          <w:iCs/>
          <w:color w:val="555555"/>
          <w:sz w:val="24"/>
          <w:szCs w:val="24"/>
        </w:rPr>
        <w:t xml:space="preserve">Frontend Repository Structure &amp; Engineering Workflow — VoxLingua</w:t>
      </w:r>
    </w:p>
    <w:p>
      <w:pPr>
        <w:jc w:val="center"/>
      </w:pPr>
      <w:r>
        <w:rPr>
          <w:b/>
          <w:bCs/>
          <w:color w:val="EF4444"/>
          <w:sz w:val="20"/>
          <w:szCs w:val="20"/>
        </w:rPr>
        <w:t xml:space="preserve">[CONFIDENTIAL — FOR INTERNAL DEVELOPMENT ONLY]</w:t>
      </w:r>
    </w:p>
    <w:p>
      <w:r>
        <w:br w:type="page"/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1. Environment &amp; Runtime Setup</w:t>
      </w:r>
    </w:p>
    <w:p>
      <w:pPr>
        <w:spacing w:after="160"/>
      </w:pPr>
      <w:r>
        <w:t xml:space="preserve">All contributors must develop inside an isolated Node environment to guarantee reproducible builds across machines. The team standard is Node 20 LTS, managed via nvm.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$ nvm use 20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$ npm install</w:t>
      </w:r>
    </w:p>
    <w:p>
      <w:pPr>
        <w:spacing w:after="160"/>
      </w:pPr>
      <w:r>
        <w:t xml:space="preserve">To launch a local live-reload development instance: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$ npm run dev</w:t>
      </w:r>
    </w:p>
    <w:p>
      <w:pPr>
        <w:spacing w:after="160"/>
      </w:pPr>
      <w:r>
        <w:t xml:space="preserve">Additional standard scripts every contributor should know: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dev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Local development server with hot module reload.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build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Production build; must complete with zero warnings before merge.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lint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ESLint + Prettier check; run before every commit.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test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unit and component test suite.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npm run e2e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Playwright end-to-end suite against a local mock backend.</w:t>
            </w:r>
          </w:p>
        </w:tc>
      </w:tr>
    </w:tbl>
    <w:p>
      <w:pPr>
        <w:spacing w:after="200"/>
      </w:pP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2. Component Design Architecture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2.1 Folder Structure</w:t>
      </w:r>
    </w:p>
    <w:p>
      <w:pPr>
        <w:spacing w:after="160"/>
      </w:pPr>
      <w:r>
        <w:t xml:space="preserve">The repository follows a strict separation between reusable primitives, layout shells, and page-level composition: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src/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components/ui/        (isolated, reusable UI primitives)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  DropZoneInput.jsx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  TranscriptPanel.jsx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  AudioPlayer.jsx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layouts/               (structural page shells)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  DashboardLayout.jsx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hooks/                 (shared logic, e.g. usePollJobStatus.js)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utils/                 (helper scripts, e.g. formatTimestamps.js)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  pages/                 (route-level composition)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2.2 Naming Conventions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Functional components: PascalCase — e.g. DropZoneInput.jsx, TranscriptPanel.jsx.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Helper/utility scripts: camelCase — e.g. formatTimestamps.js, validateFileType.js.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Custom hooks: camelCase prefixed with 'use' — e.g. usePollJobStatus.js.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One component per file; no default-exported anonymous arrow functions — always a named function for stack-trace clarity.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2.3 Component Isolation Rules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Components under src/components/ui/ must not import directly from src/pages/ — dependency direction flows one way, from primitives up to pages.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Any component that calls the network directly must be documented with a header comment naming the endpoint it touches.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Shared state (e.g. isProcessing) should live in the nearest common layout component or a dedicated context, never duplicated across siblings.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3. Flow for Committing Modifications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Step 1 — Confirm Schema Alignment</w:t>
      </w:r>
    </w:p>
    <w:p>
      <w:pPr>
        <w:spacing w:after="160"/>
      </w:pPr>
      <w:r>
        <w:t xml:space="preserve">Before adding new UI features, consult the master PLAN.md file to confirm backend schema rules. Any UI change that depends on a field not yet present in PLAN.md must be flagged to the backend team before implementation begins, not discovered during integration.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Step 2 — Draft in Isolation</w:t>
      </w:r>
    </w:p>
    <w:p>
      <w:pPr>
        <w:spacing w:after="160"/>
      </w:pPr>
      <w:r>
        <w:t xml:space="preserve">Implement UI layout shifts inside isolated draft files first (e.g. a *.draft.jsx or a feature branch), rather than editing shared components directly. This keeps the main branch's component tree stable while a change is under review.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Step 3 — Structural Checks</w:t>
      </w:r>
    </w:p>
    <w:p>
      <w:pPr>
        <w:shd w:fill="1E293B"/>
        <w:spacing w:after="40"/>
        <w:ind w:left="200"/>
      </w:pPr>
      <w:r>
        <w:rPr>
          <w:rFonts w:ascii="Courier New" w:cs="Courier New" w:eastAsia="Courier New" w:hAnsi="Courier New"/>
          <w:color w:val="F8FAFC"/>
          <w:sz w:val="20"/>
          <w:szCs w:val="20"/>
        </w:rPr>
        <w:t xml:space="preserve">$ npm run lint</w:t>
      </w:r>
    </w:p>
    <w:p>
      <w:pPr>
        <w:spacing w:after="160"/>
      </w:pPr>
      <w:r>
        <w:t xml:space="preserve">Lint must pass with zero errors and zero new warnings before a pull request may be opened. CI blocks merges on lint failure.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Step 4 — Accessibility Gate</w:t>
      </w:r>
    </w:p>
    <w:p>
      <w:pPr>
        <w:spacing w:after="160"/>
      </w:pPr>
      <w:r>
        <w:t xml:space="preserve">Every user-facing button must carry a descriptive aria-label before staging commits. A pre-commit hook scans changed .jsx files for &lt;button&gt; elements missing this attribute and blocks the commit if any are found.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4. Branching &amp; Pull Request Standards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4.1 Branch Naming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feature/&lt;short-description&gt; — new UI functionality.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fix/&lt;short-description&gt; — bug fixes.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chore/&lt;short-description&gt; — tooling, config, or dependency updates.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4.2 Commit Message Convention</w:t>
      </w:r>
    </w:p>
    <w:p>
      <w:pPr>
        <w:spacing w:after="160"/>
      </w:pPr>
      <w:r>
        <w:t xml:space="preserve">Commits follow Conventional Commits style: type(scope): description — for example, feat(dropzone): add 45s stall timeout handling.</w:t>
      </w:r>
    </w:p>
    <w:p>
      <w:pPr>
        <w:pStyle w:val="Heading2"/>
        <w:spacing w:after="120" w:before="240"/>
      </w:pPr>
      <w:r>
        <w:rPr>
          <w:b/>
          <w:bCs/>
          <w:color w:val="0F172A"/>
        </w:rPr>
        <w:t xml:space="preserve">4.3 Pull Request Checklist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Lint and unit tests pass in CI.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Screenshot or short screen-capture attached for any visual change.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Accessibility: confirmed keyboard navigation and aria-labels present.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At least one reviewer approval from a different sub-team (UI or integration) before merge.</w:t>
      </w:r>
    </w:p>
    <w:p>
      <w:pPr>
        <w:pStyle w:val="Heading1"/>
        <w:spacing w:after="200" w:before="300"/>
      </w:pPr>
      <w:r>
        <w:rPr>
          <w:b/>
          <w:bCs/>
          <w:color w:val="2563EB"/>
        </w:rPr>
        <w:t xml:space="preserve">5. Testing Standards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200"/>
      </w:tblGrid>
      <w:tr>
        <w:trPr>
          <w:tblHeader/>
        </w:trPr>
        <w:tc>
          <w:tcPr>
            <w:tcW w:type="dxa" w:w="24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Layer</w:t>
            </w:r>
          </w:p>
        </w:tc>
        <w:tc>
          <w:tcPr>
            <w:tcW w:type="dxa" w:w="26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4200"/>
            <w:shd w:fill="0F17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Minimum Coverage Expectation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Unit / component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Vitest + React Testing Library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src/components/ui/ primitives covered for each documented state.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End-to-end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Playwright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eight PRD scenarios automated and passing before release.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axe-core (CI) + manual screen-reader pass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Zero critical violations; manual pass on at least NVDA and VoiceOver.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Lighthouse CI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Performance and Accessibility scores both ≥ 90 on the main dashboard route.</w:t>
            </w:r>
          </w:p>
        </w:tc>
      </w:tr>
    </w:tbl>
    <w:p>
      <w:pPr>
        <w:pStyle w:val="Heading1"/>
        <w:spacing w:after="200" w:before="300"/>
      </w:pPr>
      <w:r>
        <w:rPr>
          <w:b/>
          <w:bCs/>
          <w:color w:val="2563EB"/>
        </w:rPr>
        <w:t xml:space="preserve">6. Release Handover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tagged, immutable build artifact matching the frozen repository state (see Development Plan, Day 15).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An environment-variables template (.env.example) listing every required key with a placeholder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known-issues document listing any accepted risks or deferred bugs, with severity and owner noted.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2026-07-06T04:18:51.881Z</dcterms:created>
  <dcterms:modified xsi:type="dcterms:W3CDTF">2026-07-06T04:18:51.881Z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