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jc w:val="center"/>
      </w:pPr>
      <w:r>
        <w:rPr>
          <w:b/>
          <w:bCs/>
          <w:color w:val="2563EB"/>
          <w:sz w:val="32"/>
          <w:szCs w:val="32"/>
        </w:rPr>
        <w:t xml:space="preserve">VOXLINGUA</w:t>
      </w:r>
    </w:p>
    <w:p>
      <w:pPr>
        <w:spacing w:after="400"/>
        <w:jc w:val="center"/>
      </w:pPr>
      <w:r>
        <w:rPr>
          <w:b/>
          <w:bCs/>
          <w:sz w:val="44"/>
          <w:szCs w:val="44"/>
        </w:rPr>
        <w:t xml:space="preserve">Design System Configuration</w:t>
      </w:r>
    </w:p>
    <w:p>
      <w:pPr>
        <w:spacing w:after="800"/>
        <w:jc w:val="center"/>
      </w:pPr>
      <w:r>
        <w:rPr>
          <w:i/>
          <w:iCs/>
          <w:color w:val="555555"/>
          <w:sz w:val="24"/>
          <w:szCs w:val="24"/>
        </w:rPr>
        <w:t xml:space="preserve">Core Look-and-Feel Design Tokens (Tailwind Configuration Data) — VoxLingua</w:t>
      </w:r>
    </w:p>
    <w:p>
      <w:pPr>
        <w:jc w:val="center"/>
      </w:pPr>
      <w:r>
        <w:rPr>
          <w:b/>
          <w:bCs/>
          <w:color w:val="EF4444"/>
          <w:sz w:val="20"/>
          <w:szCs w:val="20"/>
        </w:rPr>
        <w:t xml:space="preserve">[CONFIDENTIAL — FOR INTERNAL DEVELOPMENT ONLY]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color w:val="2563EB"/>
        </w:rPr>
        <w:t xml:space="preserve">1. Branding Color Specification Scale (Slate Modern Theme)</w:t>
      </w:r>
    </w:p>
    <w:p>
      <w:pPr>
        <w:spacing w:after="160"/>
      </w:pPr>
      <w:r>
        <w:t xml:space="preserve">The VoxLingua palette is a dark 'slate modern' theme chosen for extended-use comfort during long transcription review sessions, with a single saturated blue accent to draw attention to interactive and active elements.</w:t>
      </w:r>
    </w:p>
    <w:p>
      <w:pPr>
        <w:spacing w:after="100"/>
      </w:pPr>
      <w:r>
        <w:rPr>
          <w:color w:val="0F172A"/>
          <w:sz w:val="28"/>
          <w:szCs w:val="28"/>
        </w:rPr>
        <w:t xml:space="preserve">■  </w:t>
      </w:r>
      <w:r>
        <w:rPr>
          <w:b/>
          <w:bCs/>
          <w:sz w:val="20"/>
          <w:szCs w:val="20"/>
        </w:rPr>
        <w:t xml:space="preserve">Primary Slate Dark (#0F172A)</w:t>
      </w:r>
      <w:r>
        <w:rPr>
          <w:color w:val="555555"/>
          <w:sz w:val="20"/>
          <w:szCs w:val="20"/>
        </w:rPr>
        <w:t xml:space="preserve">  — Global app background; the base canvas behind every screen.</w:t>
      </w:r>
    </w:p>
    <w:p>
      <w:pPr>
        <w:spacing w:after="100"/>
      </w:pPr>
      <w:r>
        <w:rPr>
          <w:color w:val="1E293B"/>
          <w:sz w:val="28"/>
          <w:szCs w:val="28"/>
        </w:rPr>
        <w:t xml:space="preserve">■  </w:t>
      </w:r>
      <w:r>
        <w:rPr>
          <w:b/>
          <w:bCs/>
          <w:sz w:val="20"/>
          <w:szCs w:val="20"/>
        </w:rPr>
        <w:t xml:space="preserve">Secondary Charcoal (#1E293B)</w:t>
      </w:r>
      <w:r>
        <w:rPr>
          <w:color w:val="555555"/>
          <w:sz w:val="20"/>
          <w:szCs w:val="20"/>
        </w:rPr>
        <w:t xml:space="preserve">  — Component container background — cards, panels, the drop-zone surface.</w:t>
      </w:r>
    </w:p>
    <w:p>
      <w:pPr>
        <w:spacing w:after="100"/>
      </w:pPr>
      <w:r>
        <w:rPr>
          <w:color w:val="3B82F6"/>
          <w:sz w:val="28"/>
          <w:szCs w:val="28"/>
        </w:rPr>
        <w:t xml:space="preserve">■  </w:t>
      </w:r>
      <w:r>
        <w:rPr>
          <w:b/>
          <w:bCs/>
          <w:sz w:val="20"/>
          <w:szCs w:val="20"/>
        </w:rPr>
        <w:t xml:space="preserve">Accent Active Brand Color (#3B82F6)</w:t>
      </w:r>
      <w:r>
        <w:rPr>
          <w:color w:val="555555"/>
          <w:sz w:val="20"/>
          <w:szCs w:val="20"/>
        </w:rPr>
        <w:t xml:space="preserve">  — Highlight glow for active/focused states, primary buttons, active drop-zone border.</w:t>
      </w:r>
    </w:p>
    <w:p>
      <w:pPr>
        <w:spacing w:after="100"/>
      </w:pPr>
      <w:r>
        <w:rPr>
          <w:color w:val="2563EB"/>
          <w:sz w:val="28"/>
          <w:szCs w:val="28"/>
        </w:rPr>
        <w:t xml:space="preserve">■  </w:t>
      </w:r>
      <w:r>
        <w:rPr>
          <w:b/>
          <w:bCs/>
          <w:sz w:val="20"/>
          <w:szCs w:val="20"/>
        </w:rPr>
        <w:t xml:space="preserve">Accent Hover Interaction Focus (#2563EB)</w:t>
      </w:r>
      <w:r>
        <w:rPr>
          <w:color w:val="555555"/>
          <w:sz w:val="20"/>
          <w:szCs w:val="20"/>
        </w:rPr>
        <w:t xml:space="preserve">  — Hover state for primary buttons and interactive links.</w:t>
      </w:r>
    </w:p>
    <w:p>
      <w:pPr>
        <w:spacing w:after="100"/>
      </w:pPr>
      <w:r>
        <w:rPr>
          <w:color w:val="EF4444"/>
          <w:sz w:val="28"/>
          <w:szCs w:val="28"/>
        </w:rPr>
        <w:t xml:space="preserve">■  </w:t>
      </w:r>
      <w:r>
        <w:rPr>
          <w:b/>
          <w:bCs/>
          <w:sz w:val="20"/>
          <w:szCs w:val="20"/>
        </w:rPr>
        <w:t xml:space="preserve">Error Warning Indicator (#EF4444)</w:t>
      </w:r>
      <w:r>
        <w:rPr>
          <w:color w:val="555555"/>
          <w:sz w:val="20"/>
          <w:szCs w:val="20"/>
        </w:rPr>
        <w:t xml:space="preserve">  — Rejection alerts, oversize-file warnings, failed-job states.</w:t>
      </w:r>
    </w:p>
    <w:p>
      <w:pPr>
        <w:spacing w:after="100"/>
      </w:pPr>
      <w:r>
        <w:rPr>
          <w:color w:val="F8FAFC"/>
          <w:sz w:val="28"/>
          <w:szCs w:val="28"/>
        </w:rPr>
        <w:t xml:space="preserve">■  </w:t>
      </w:r>
      <w:r>
        <w:rPr>
          <w:b/>
          <w:bCs/>
          <w:sz w:val="20"/>
          <w:szCs w:val="20"/>
        </w:rPr>
        <w:t xml:space="preserve">Text Core Readability Baseline (#F8FAFC)</w:t>
      </w:r>
      <w:r>
        <w:rPr>
          <w:color w:val="555555"/>
          <w:sz w:val="20"/>
          <w:szCs w:val="20"/>
        </w:rPr>
        <w:t xml:space="preserve">  — Primary body and heading text on dark backgrounds.</w:t>
      </w:r>
    </w:p>
    <w:p>
      <w:pPr>
        <w:spacing w:after="100"/>
      </w:pPr>
      <w:r>
        <w:rPr>
          <w:color w:val="94A3B8"/>
          <w:sz w:val="28"/>
          <w:szCs w:val="28"/>
        </w:rPr>
        <w:t xml:space="preserve">■  </w:t>
      </w:r>
      <w:r>
        <w:rPr>
          <w:b/>
          <w:bCs/>
          <w:sz w:val="20"/>
          <w:szCs w:val="20"/>
        </w:rPr>
        <w:t xml:space="preserve">Text Muted Secondary (#94A3B8)</w:t>
      </w:r>
      <w:r>
        <w:rPr>
          <w:color w:val="555555"/>
          <w:sz w:val="20"/>
          <w:szCs w:val="20"/>
        </w:rPr>
        <w:t xml:space="preserve">  — Secondary data labels, timestamps, metadata captions.</w:t>
      </w:r>
    </w:p>
    <w:p>
      <w:pPr>
        <w:pStyle w:val="Heading2"/>
        <w:spacing w:after="120" w:before="240"/>
      </w:pPr>
      <w:r>
        <w:rPr>
          <w:b/>
          <w:bCs/>
          <w:color w:val="0F172A"/>
        </w:rPr>
        <w:t xml:space="preserve">1.1 Usage Guidelines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Never place slate-400 text directly on slate-900 for anything below 18pt without re-checking contrast — verify against the 4.5:1 rule in the Constraints document.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Reserve red-500 exclusively for error/warning states; it must not be reused decoratively, to preserve its signal value.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Blue-500 is the only accent color permitted for primary calls to action; do not introduce secondary accent hues without a design review.</w:t>
      </w:r>
    </w:p>
    <w:p>
      <w:pPr>
        <w:pStyle w:val="Heading2"/>
        <w:spacing w:after="120" w:before="240"/>
      </w:pPr>
      <w:r>
        <w:rPr>
          <w:b/>
          <w:bCs/>
          <w:color w:val="0F172A"/>
        </w:rPr>
        <w:t xml:space="preserve">1.2 Extended Semantic Tokens (New)</w:t>
      </w:r>
    </w:p>
    <w:p>
      <w:pPr>
        <w:spacing w:after="160"/>
      </w:pPr>
      <w:r>
        <w:t xml:space="preserve">The following semantic aliases should be added to the Tailwind theme so components reference intent rather than raw color names: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800"/>
      </w:tblGrid>
      <w:tr>
        <w:trPr>
          <w:tblHeader/>
        </w:trPr>
        <w:tc>
          <w:tcPr>
            <w:tcW w:type="dxa" w:w="24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Semantic Token</w:t>
            </w:r>
          </w:p>
        </w:tc>
        <w:tc>
          <w:tcPr>
            <w:tcW w:type="dxa" w:w="24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Maps To</w:t>
            </w:r>
          </w:p>
        </w:tc>
        <w:tc>
          <w:tcPr>
            <w:tcW w:type="dxa" w:w="48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bg-surface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slate-900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App-wide background.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bg-card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slate-800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Elevated container surfaces.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text-primary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slate-50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Default body/heading text.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text-muted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slate-400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Secondary/metadata text.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accent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blue-500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Primary interactive highlight.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accent-hover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blue-600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Hover/pressed state of accent elements.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danger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red-500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Errors, rejections, destructive actions.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success (New)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emerald-500 (#10B981)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Successful translation completion state — not in the original palette; recommended addition since no success color currently exists.</w:t>
            </w:r>
          </w:p>
        </w:tc>
      </w:tr>
    </w:tbl>
    <w:p>
      <w:pPr>
        <w:spacing w:after="200"/>
      </w:pPr>
    </w:p>
    <w:p>
      <w:pPr>
        <w:pStyle w:val="Heading1"/>
        <w:spacing w:after="200" w:before="300"/>
      </w:pPr>
      <w:r>
        <w:rPr>
          <w:b/>
          <w:bCs/>
          <w:color w:val="2563EB"/>
        </w:rPr>
        <w:t xml:space="preserve">2. Typography Matrix Settings</w:t>
      </w:r>
    </w:p>
    <w:p>
      <w:pPr>
        <w:pStyle w:val="Heading2"/>
        <w:spacing w:after="120" w:before="240"/>
      </w:pPr>
      <w:r>
        <w:rPr>
          <w:b/>
          <w:bCs/>
          <w:color w:val="0F172A"/>
        </w:rPr>
        <w:t xml:space="preserve">2.1 Font Family</w:t>
      </w:r>
    </w:p>
    <w:p>
      <w:pPr>
        <w:spacing w:after="160"/>
      </w:pPr>
      <w:r>
        <w:t xml:space="preserve">Master App Interface Font Family: 'Inter', system-ui, sans-serif. Inter was selected for its high legibility at small sizes and comprehensive language/script coverage relevant to VoxLingua's multilingual transcript panels.</w:t>
      </w:r>
    </w:p>
    <w:p>
      <w:pPr>
        <w:pStyle w:val="Heading2"/>
        <w:spacing w:after="120" w:before="240"/>
      </w:pPr>
      <w:r>
        <w:rPr>
          <w:b/>
          <w:bCs/>
          <w:color w:val="0F172A"/>
        </w:rPr>
        <w:t xml:space="preserve">2.2 Type Scale (Expanded)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000"/>
        <w:gridCol w:w="2400"/>
      </w:tblGrid>
      <w:tr>
        <w:trPr>
          <w:tblHeader/>
        </w:trPr>
        <w:tc>
          <w:tcPr>
            <w:tcW w:type="dxa" w:w="24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Size / Line-height</w:t>
            </w:r>
          </w:p>
        </w:tc>
        <w:tc>
          <w:tcPr>
            <w:tcW w:type="dxa" w:w="20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4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Tracking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Page Title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28px / 1.2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700 (bold)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-0.025em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Section Header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20px / 1.3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700 (bold)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-0.025em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Body / Transcript Text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16px / 1.625 (leading-relaxed)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400 (regular)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Metadata / Timestamps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13px / 1.4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500 (medium)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Button Label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14px / 1.2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600 (semibold)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normal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  <w:color w:val="0F172A"/>
        </w:rPr>
        <w:t xml:space="preserve">2.3 Reading Viewport Guidance</w:t>
      </w:r>
    </w:p>
    <w:p>
      <w:pPr>
        <w:spacing w:after="160"/>
      </w:pPr>
      <w:r>
        <w:t xml:space="preserve">The leading-relaxed (1.625) line-height applies specifically to the twin transcript viewport panels, where longer blocks of translated prose benefit from generous line spacing for scan-ability. Headers and UI chrome use tighter line-heights to conserve vertical space.</w:t>
      </w:r>
    </w:p>
    <w:p>
      <w:pPr>
        <w:pStyle w:val="Heading1"/>
        <w:spacing w:after="200" w:before="300"/>
      </w:pPr>
      <w:r>
        <w:rPr>
          <w:b/>
          <w:bCs/>
          <w:color w:val="2563EB"/>
        </w:rPr>
        <w:t xml:space="preserve">3. Spacing &amp; Layout Grid (New)</w:t>
      </w:r>
    </w:p>
    <w:p>
      <w:pPr>
        <w:spacing w:after="160"/>
      </w:pPr>
      <w:r>
        <w:t xml:space="preserve">To complement the original color and type tokens, a consistent spacing scale should be adopted across all components, based on Tailwind's default 4px base unit: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400"/>
      </w:tblGrid>
      <w:tr>
        <w:trPr>
          <w:tblHeader/>
        </w:trPr>
        <w:tc>
          <w:tcPr>
            <w:tcW w:type="dxa" w:w="20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4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Typical Use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space-1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4px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Icon-to-label gaps.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space-2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8px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Inline element spacing within a control.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space-4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16px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Standard padding inside cards and panels.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space-6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24px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Gaps between stacked cards.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space-8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32px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Section-level vertical rhythm.</w:t>
            </w:r>
          </w:p>
        </w:tc>
      </w:tr>
    </w:tbl>
    <w:p>
      <w:pPr>
        <w:spacing w:after="200"/>
      </w:pPr>
    </w:p>
    <w:p>
      <w:pPr>
        <w:pStyle w:val="Heading1"/>
        <w:spacing w:after="200" w:before="300"/>
      </w:pPr>
      <w:r>
        <w:rPr>
          <w:b/>
          <w:bCs/>
          <w:color w:val="2563EB"/>
        </w:rPr>
        <w:t xml:space="preserve">4. Animation Scale Classes (Tailwind Injections)</w:t>
      </w:r>
    </w:p>
    <w:p>
      <w:pPr>
        <w:pStyle w:val="Heading2"/>
        <w:spacing w:after="120" w:before="240"/>
      </w:pPr>
      <w:r>
        <w:rPr>
          <w:b/>
          <w:bCs/>
          <w:color w:val="0F172A"/>
        </w:rPr>
        <w:t xml:space="preserve">4.1 Processing Pulse</w:t>
      </w:r>
    </w:p>
    <w:p>
      <w:pPr>
        <w:spacing w:after="160"/>
      </w:pPr>
      <w:r>
        <w:t xml:space="preserve">Pulse Processing Loop: animate-pulse — a 2-second opacity looping oscillation applied to the loading ring icon and skeleton panels while a server job is in flight.</w:t>
      </w:r>
    </w:p>
    <w:p>
      <w:pPr>
        <w:pStyle w:val="Heading2"/>
        <w:spacing w:after="120" w:before="240"/>
      </w:pPr>
      <w:r>
        <w:rPr>
          <w:b/>
          <w:bCs/>
          <w:color w:val="0F172A"/>
        </w:rPr>
        <w:t xml:space="preserve">4.2 Micro-Interactions</w:t>
      </w:r>
    </w:p>
    <w:p>
      <w:pPr>
        <w:spacing w:after="160"/>
      </w:pPr>
      <w:r>
        <w:t xml:space="preserve">Global rule for button and interactive-control state changes: transition-all duration-200 ease-in-out. This governs hover, focus, and disabled-state transitions consistently across every interactive component.</w:t>
      </w:r>
    </w:p>
    <w:p>
      <w:pPr>
        <w:pStyle w:val="Heading2"/>
        <w:spacing w:after="120" w:before="240"/>
      </w:pPr>
      <w:r>
        <w:rPr>
          <w:b/>
          <w:bCs/>
          <w:color w:val="0F172A"/>
        </w:rPr>
        <w:t xml:space="preserve">4.3 Additional Motion Guidance (New)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Drop-zone drag-active highlight should transition border-color and background-color together over 150ms for a snappier feel than the standard 200ms button transition.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Smooth-scroll to the timestamp block on successful translation should use a 400–600ms eased scroll, not an instant jump, to preserve spatial orientation for the user.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Respect prefers-reduced-motion: all pulse and smooth-scroll animations must degrade to instant/static equivalents when the user's OS-level reduced-motion setting is enabled.</w:t>
      </w:r>
    </w:p>
    <w:p>
      <w:pPr>
        <w:pStyle w:val="Heading1"/>
        <w:spacing w:after="200" w:before="300"/>
      </w:pPr>
      <w:r>
        <w:rPr>
          <w:b/>
          <w:bCs/>
          <w:color w:val="2563EB"/>
        </w:rPr>
        <w:t xml:space="preserve">5. Component Token Reference (New)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2000"/>
      </w:tblGrid>
      <w:tr>
        <w:trPr>
          <w:tblHeader/>
        </w:trPr>
        <w:tc>
          <w:tcPr>
            <w:tcW w:type="dxa" w:w="22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4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Border</w:t>
            </w:r>
          </w:p>
        </w:tc>
        <w:tc>
          <w:tcPr>
            <w:tcW w:type="dxa" w:w="20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Drop-Zone (idle)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bg-card / slate-800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1px dashed slate-400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text-muted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Drop-Zone (active drag)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bg-card / slate-800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2px solid accent / blue-500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text-primary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Primary Button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accent / blue-500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slate-50, semibold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Primary Button (hover)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accent-hover / blue-600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slate-50, semibold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Error Alert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red-500 at 10% opacity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1px solid red-500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red-500, medium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2026-07-06T04:19:24.883Z</dcterms:created>
  <dcterms:modified xsi:type="dcterms:W3CDTF">2026-07-06T04:19:24.883Z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