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FCB1AE" w14:textId="77777777" w:rsidR="00645739" w:rsidRPr="00645739" w:rsidRDefault="00645739" w:rsidP="00645739">
      <w:pPr>
        <w:pStyle w:val="Title"/>
        <w:jc w:val="center"/>
        <w:rPr>
          <w:rFonts w:ascii="Times New Roman" w:hAnsi="Times New Roman" w:cs="Times New Roman"/>
          <w:sz w:val="48"/>
          <w:szCs w:val="48"/>
        </w:rPr>
      </w:pPr>
      <w:r w:rsidRPr="00645739">
        <w:rPr>
          <w:rFonts w:ascii="Times New Roman" w:hAnsi="Times New Roman" w:cs="Times New Roman"/>
          <w:sz w:val="48"/>
          <w:szCs w:val="48"/>
        </w:rPr>
        <w:t>Project Report: Medical Data Warehouse Cost Analysis</w:t>
      </w:r>
    </w:p>
    <w:p w14:paraId="01B4EBA6" w14:textId="77777777" w:rsidR="00645739" w:rsidRPr="00645739" w:rsidRDefault="00645739" w:rsidP="00645739">
      <w:pPr>
        <w:jc w:val="both"/>
        <w:rPr>
          <w:rFonts w:ascii="Times New Roman" w:hAnsi="Times New Roman" w:cs="Times New Roman"/>
        </w:rPr>
      </w:pPr>
    </w:p>
    <w:p w14:paraId="4728461B" w14:textId="77777777" w:rsidR="00645739" w:rsidRPr="00645739" w:rsidRDefault="00645739" w:rsidP="00645739">
      <w:pPr>
        <w:jc w:val="both"/>
        <w:rPr>
          <w:rFonts w:ascii="Times New Roman" w:hAnsi="Times New Roman" w:cs="Times New Roman"/>
          <w:b/>
          <w:bCs/>
          <w:sz w:val="28"/>
          <w:szCs w:val="28"/>
        </w:rPr>
      </w:pPr>
      <w:r w:rsidRPr="00645739">
        <w:rPr>
          <w:rFonts w:ascii="Times New Roman" w:hAnsi="Times New Roman" w:cs="Times New Roman"/>
          <w:b/>
          <w:bCs/>
          <w:sz w:val="28"/>
          <w:szCs w:val="28"/>
        </w:rPr>
        <w:t>1. Executive Summary</w:t>
      </w:r>
    </w:p>
    <w:p w14:paraId="6F164901" w14:textId="77777777" w:rsidR="00645739" w:rsidRDefault="00645739" w:rsidP="00645739">
      <w:pPr>
        <w:jc w:val="both"/>
        <w:rPr>
          <w:rFonts w:ascii="Times New Roman" w:hAnsi="Times New Roman" w:cs="Times New Roman"/>
        </w:rPr>
      </w:pPr>
      <w:r w:rsidRPr="00645739">
        <w:rPr>
          <w:rFonts w:ascii="Times New Roman" w:hAnsi="Times New Roman" w:cs="Times New Roman"/>
        </w:rPr>
        <w:t xml:space="preserve">This project </w:t>
      </w:r>
      <w:proofErr w:type="spellStart"/>
      <w:r w:rsidRPr="00645739">
        <w:rPr>
          <w:rFonts w:ascii="Times New Roman" w:hAnsi="Times New Roman" w:cs="Times New Roman"/>
        </w:rPr>
        <w:t>analyzes</w:t>
      </w:r>
      <w:proofErr w:type="spellEnd"/>
      <w:r w:rsidRPr="00645739">
        <w:rPr>
          <w:rFonts w:ascii="Times New Roman" w:hAnsi="Times New Roman" w:cs="Times New Roman"/>
        </w:rPr>
        <w:t xml:space="preserve"> a medical data warehouse comprising 1,338 patient records to uncover the primary demographic and lifestyle factors driving healthcare costs. By establishing an automated ETL (Extract, Transform, Load) pipeline and developing a dynamic, interactive dashboard, this analysis transitions raw patient data into actionable business intelligence. The findings conclusively show that lifestyle choices—specifically smoking and high BMI—are the ultimate cost multipliers, far outweighing geographic or purely age-related factors.</w:t>
      </w:r>
    </w:p>
    <w:p w14:paraId="350ADC69" w14:textId="77777777" w:rsidR="00645739" w:rsidRPr="00645739" w:rsidRDefault="00645739" w:rsidP="00645739">
      <w:pPr>
        <w:jc w:val="both"/>
        <w:rPr>
          <w:rFonts w:ascii="Times New Roman" w:hAnsi="Times New Roman" w:cs="Times New Roman"/>
        </w:rPr>
      </w:pPr>
    </w:p>
    <w:p w14:paraId="44FBAB57" w14:textId="77777777" w:rsidR="00645739" w:rsidRPr="00645739" w:rsidRDefault="00645739" w:rsidP="00645739">
      <w:pPr>
        <w:jc w:val="both"/>
        <w:rPr>
          <w:rFonts w:ascii="Times New Roman" w:hAnsi="Times New Roman" w:cs="Times New Roman"/>
          <w:b/>
          <w:bCs/>
          <w:sz w:val="28"/>
          <w:szCs w:val="28"/>
        </w:rPr>
      </w:pPr>
      <w:r w:rsidRPr="00645739">
        <w:rPr>
          <w:rFonts w:ascii="Times New Roman" w:hAnsi="Times New Roman" w:cs="Times New Roman"/>
          <w:b/>
          <w:bCs/>
          <w:sz w:val="28"/>
          <w:szCs w:val="28"/>
        </w:rPr>
        <w:t>2. Project Objectives</w:t>
      </w:r>
    </w:p>
    <w:p w14:paraId="05E90BBD" w14:textId="77777777" w:rsidR="00645739" w:rsidRPr="00645739" w:rsidRDefault="00645739" w:rsidP="00645739">
      <w:pPr>
        <w:numPr>
          <w:ilvl w:val="0"/>
          <w:numId w:val="1"/>
        </w:numPr>
        <w:jc w:val="both"/>
        <w:rPr>
          <w:rFonts w:ascii="Times New Roman" w:hAnsi="Times New Roman" w:cs="Times New Roman"/>
        </w:rPr>
      </w:pPr>
      <w:r w:rsidRPr="00645739">
        <w:rPr>
          <w:rFonts w:ascii="Times New Roman" w:hAnsi="Times New Roman" w:cs="Times New Roman"/>
          <w:b/>
          <w:bCs/>
        </w:rPr>
        <w:t>Identify Cost Drivers:</w:t>
      </w:r>
      <w:r w:rsidRPr="00645739">
        <w:rPr>
          <w:rFonts w:ascii="Times New Roman" w:hAnsi="Times New Roman" w:cs="Times New Roman"/>
        </w:rPr>
        <w:t xml:space="preserve"> Determine which patient attributes (age, sex, BMI, number of dependents, smoking status, and region) have the highest correlation with medical charges.</w:t>
      </w:r>
    </w:p>
    <w:p w14:paraId="5874110C" w14:textId="77777777" w:rsidR="00645739" w:rsidRPr="00645739" w:rsidRDefault="00645739" w:rsidP="00645739">
      <w:pPr>
        <w:numPr>
          <w:ilvl w:val="0"/>
          <w:numId w:val="1"/>
        </w:numPr>
        <w:jc w:val="both"/>
        <w:rPr>
          <w:rFonts w:ascii="Times New Roman" w:hAnsi="Times New Roman" w:cs="Times New Roman"/>
        </w:rPr>
      </w:pPr>
      <w:r w:rsidRPr="00645739">
        <w:rPr>
          <w:rFonts w:ascii="Times New Roman" w:hAnsi="Times New Roman" w:cs="Times New Roman"/>
          <w:b/>
          <w:bCs/>
        </w:rPr>
        <w:t>Establish a Data Pipeline:</w:t>
      </w:r>
      <w:r w:rsidRPr="00645739">
        <w:rPr>
          <w:rFonts w:ascii="Times New Roman" w:hAnsi="Times New Roman" w:cs="Times New Roman"/>
        </w:rPr>
        <w:t xml:space="preserve"> Utilize Power Query to clean the dataset, handle data types, and engineer new categorical features for better segmentation.</w:t>
      </w:r>
    </w:p>
    <w:p w14:paraId="77BEECD2" w14:textId="77777777" w:rsidR="00645739" w:rsidRDefault="00645739" w:rsidP="00645739">
      <w:pPr>
        <w:numPr>
          <w:ilvl w:val="0"/>
          <w:numId w:val="1"/>
        </w:numPr>
        <w:jc w:val="both"/>
        <w:rPr>
          <w:rFonts w:ascii="Times New Roman" w:hAnsi="Times New Roman" w:cs="Times New Roman"/>
        </w:rPr>
      </w:pPr>
      <w:r w:rsidRPr="00645739">
        <w:rPr>
          <w:rFonts w:ascii="Times New Roman" w:hAnsi="Times New Roman" w:cs="Times New Roman"/>
          <w:b/>
          <w:bCs/>
        </w:rPr>
        <w:t>Develop an Interactive UI:</w:t>
      </w:r>
      <w:r w:rsidRPr="00645739">
        <w:rPr>
          <w:rFonts w:ascii="Times New Roman" w:hAnsi="Times New Roman" w:cs="Times New Roman"/>
        </w:rPr>
        <w:t xml:space="preserve"> Design a professional, distraction-free Excel dashboard that allows stakeholders to seamlessly filter data and isolate trends.</w:t>
      </w:r>
    </w:p>
    <w:p w14:paraId="00FBAE58" w14:textId="77777777" w:rsidR="00645739" w:rsidRPr="00645739" w:rsidRDefault="00645739" w:rsidP="00645739">
      <w:pPr>
        <w:ind w:left="720"/>
        <w:jc w:val="both"/>
        <w:rPr>
          <w:rFonts w:ascii="Times New Roman" w:hAnsi="Times New Roman" w:cs="Times New Roman"/>
        </w:rPr>
      </w:pPr>
    </w:p>
    <w:p w14:paraId="729030F8" w14:textId="77777777" w:rsidR="00645739" w:rsidRPr="00645739" w:rsidRDefault="00645739" w:rsidP="00645739">
      <w:pPr>
        <w:jc w:val="both"/>
        <w:rPr>
          <w:rFonts w:ascii="Times New Roman" w:hAnsi="Times New Roman" w:cs="Times New Roman"/>
          <w:b/>
          <w:bCs/>
          <w:sz w:val="28"/>
          <w:szCs w:val="28"/>
        </w:rPr>
      </w:pPr>
      <w:r w:rsidRPr="00645739">
        <w:rPr>
          <w:rFonts w:ascii="Times New Roman" w:hAnsi="Times New Roman" w:cs="Times New Roman"/>
          <w:b/>
          <w:bCs/>
          <w:sz w:val="28"/>
          <w:szCs w:val="28"/>
        </w:rPr>
        <w:t>3. Methodology &amp; Technical Approach</w:t>
      </w:r>
    </w:p>
    <w:p w14:paraId="20B37D87" w14:textId="77777777" w:rsidR="00645739" w:rsidRDefault="00645739" w:rsidP="00645739">
      <w:pPr>
        <w:jc w:val="both"/>
        <w:rPr>
          <w:rFonts w:ascii="Times New Roman" w:hAnsi="Times New Roman" w:cs="Times New Roman"/>
        </w:rPr>
      </w:pPr>
      <w:r w:rsidRPr="00645739">
        <w:rPr>
          <w:rFonts w:ascii="Times New Roman" w:hAnsi="Times New Roman" w:cs="Times New Roman"/>
        </w:rPr>
        <w:t>The project was executed in three distinct phases to ensure data integrity and usability:</w:t>
      </w:r>
    </w:p>
    <w:p w14:paraId="7807B1B6" w14:textId="77777777" w:rsidR="00645739" w:rsidRPr="00645739" w:rsidRDefault="00645739" w:rsidP="00645739">
      <w:pPr>
        <w:jc w:val="both"/>
        <w:rPr>
          <w:rFonts w:ascii="Times New Roman" w:hAnsi="Times New Roman" w:cs="Times New Roman"/>
        </w:rPr>
      </w:pPr>
    </w:p>
    <w:p w14:paraId="20E35905" w14:textId="77777777" w:rsidR="00645739" w:rsidRPr="00645739" w:rsidRDefault="00645739" w:rsidP="00645739">
      <w:pPr>
        <w:numPr>
          <w:ilvl w:val="0"/>
          <w:numId w:val="2"/>
        </w:numPr>
        <w:jc w:val="both"/>
        <w:rPr>
          <w:rFonts w:ascii="Times New Roman" w:hAnsi="Times New Roman" w:cs="Times New Roman"/>
        </w:rPr>
      </w:pPr>
      <w:r w:rsidRPr="00645739">
        <w:rPr>
          <w:rFonts w:ascii="Times New Roman" w:hAnsi="Times New Roman" w:cs="Times New Roman"/>
          <w:b/>
          <w:bCs/>
        </w:rPr>
        <w:t>Phase 1: ETL &amp; Feature Engineering (Power Query)</w:t>
      </w:r>
    </w:p>
    <w:p w14:paraId="4CDAD867" w14:textId="77777777" w:rsidR="00645739" w:rsidRPr="00645739" w:rsidRDefault="00645739" w:rsidP="00645739">
      <w:pPr>
        <w:jc w:val="both"/>
        <w:rPr>
          <w:rFonts w:ascii="Times New Roman" w:hAnsi="Times New Roman" w:cs="Times New Roman"/>
        </w:rPr>
      </w:pPr>
      <w:r w:rsidRPr="00645739">
        <w:rPr>
          <w:rFonts w:ascii="Times New Roman" w:hAnsi="Times New Roman" w:cs="Times New Roman"/>
        </w:rPr>
        <w:t>Raw CSV data was imported via Power Query. To streamline demographic analysis, continuous variables were grouped into discrete categories using conditional logic (M code).</w:t>
      </w:r>
    </w:p>
    <w:p w14:paraId="02ACBB1E" w14:textId="77777777" w:rsidR="00645739" w:rsidRPr="00645739" w:rsidRDefault="00645739" w:rsidP="00645739">
      <w:pPr>
        <w:numPr>
          <w:ilvl w:val="1"/>
          <w:numId w:val="2"/>
        </w:numPr>
        <w:jc w:val="both"/>
        <w:rPr>
          <w:rFonts w:ascii="Times New Roman" w:hAnsi="Times New Roman" w:cs="Times New Roman"/>
        </w:rPr>
      </w:pPr>
      <w:r w:rsidRPr="00645739">
        <w:rPr>
          <w:rFonts w:ascii="Times New Roman" w:hAnsi="Times New Roman" w:cs="Times New Roman"/>
        </w:rPr>
        <w:t>Created an Age Group feature to bucket patients into &lt;30, 30-50, and 50+.</w:t>
      </w:r>
    </w:p>
    <w:p w14:paraId="37931D41" w14:textId="77777777" w:rsidR="00645739" w:rsidRDefault="00645739" w:rsidP="00645739">
      <w:pPr>
        <w:numPr>
          <w:ilvl w:val="1"/>
          <w:numId w:val="2"/>
        </w:numPr>
        <w:jc w:val="both"/>
        <w:rPr>
          <w:rFonts w:ascii="Times New Roman" w:hAnsi="Times New Roman" w:cs="Times New Roman"/>
        </w:rPr>
      </w:pPr>
      <w:r w:rsidRPr="00645739">
        <w:rPr>
          <w:rFonts w:ascii="Times New Roman" w:hAnsi="Times New Roman" w:cs="Times New Roman"/>
        </w:rPr>
        <w:t>Created a BMI Category feature to classify patients as Underweight, Normal Weight, Overweight, and Obese.</w:t>
      </w:r>
    </w:p>
    <w:p w14:paraId="7EDBED7D" w14:textId="77777777" w:rsidR="00645739" w:rsidRPr="00645739" w:rsidRDefault="00645739" w:rsidP="00645739">
      <w:pPr>
        <w:ind w:left="1440"/>
        <w:jc w:val="both"/>
        <w:rPr>
          <w:rFonts w:ascii="Times New Roman" w:hAnsi="Times New Roman" w:cs="Times New Roman"/>
        </w:rPr>
      </w:pPr>
    </w:p>
    <w:p w14:paraId="44C52155" w14:textId="77777777" w:rsidR="00645739" w:rsidRDefault="00645739" w:rsidP="00645739">
      <w:pPr>
        <w:ind w:left="720"/>
        <w:jc w:val="both"/>
        <w:rPr>
          <w:rFonts w:ascii="Times New Roman" w:hAnsi="Times New Roman" w:cs="Times New Roman"/>
        </w:rPr>
      </w:pPr>
    </w:p>
    <w:p w14:paraId="5EA345A2" w14:textId="77777777" w:rsidR="00645739" w:rsidRPr="00645739" w:rsidRDefault="00645739" w:rsidP="00645739">
      <w:pPr>
        <w:ind w:left="720"/>
        <w:jc w:val="both"/>
        <w:rPr>
          <w:rFonts w:ascii="Times New Roman" w:hAnsi="Times New Roman" w:cs="Times New Roman"/>
        </w:rPr>
      </w:pPr>
    </w:p>
    <w:p w14:paraId="21D618AA" w14:textId="40EC4FFB" w:rsidR="00645739" w:rsidRPr="00645739" w:rsidRDefault="00645739" w:rsidP="00645739">
      <w:pPr>
        <w:numPr>
          <w:ilvl w:val="0"/>
          <w:numId w:val="2"/>
        </w:numPr>
        <w:jc w:val="both"/>
        <w:rPr>
          <w:rFonts w:ascii="Times New Roman" w:hAnsi="Times New Roman" w:cs="Times New Roman"/>
        </w:rPr>
      </w:pPr>
      <w:r w:rsidRPr="00645739">
        <w:rPr>
          <w:rFonts w:ascii="Times New Roman" w:hAnsi="Times New Roman" w:cs="Times New Roman"/>
          <w:b/>
          <w:bCs/>
        </w:rPr>
        <w:lastRenderedPageBreak/>
        <w:t>Phase 2: Exploratory Data Analysis (EDA)</w:t>
      </w:r>
    </w:p>
    <w:p w14:paraId="2D7CF844" w14:textId="77777777" w:rsidR="00645739" w:rsidRPr="00645739" w:rsidRDefault="00645739" w:rsidP="00645739">
      <w:pPr>
        <w:jc w:val="both"/>
        <w:rPr>
          <w:rFonts w:ascii="Times New Roman" w:hAnsi="Times New Roman" w:cs="Times New Roman"/>
        </w:rPr>
      </w:pPr>
      <w:r w:rsidRPr="00645739">
        <w:rPr>
          <w:rFonts w:ascii="Times New Roman" w:hAnsi="Times New Roman" w:cs="Times New Roman"/>
        </w:rPr>
        <w:t>PivotTables were constructed to aggregate the average medical charges across various patient dimensions, exposing baseline trends and anomalies within the risk pools.</w:t>
      </w:r>
    </w:p>
    <w:p w14:paraId="30EEF187" w14:textId="77777777" w:rsidR="00645739" w:rsidRPr="00645739" w:rsidRDefault="00645739" w:rsidP="00645739">
      <w:pPr>
        <w:ind w:left="720"/>
        <w:jc w:val="both"/>
        <w:rPr>
          <w:rFonts w:ascii="Times New Roman" w:hAnsi="Times New Roman" w:cs="Times New Roman"/>
        </w:rPr>
      </w:pPr>
    </w:p>
    <w:p w14:paraId="2E4D1F9F" w14:textId="39EC1503" w:rsidR="00645739" w:rsidRPr="00645739" w:rsidRDefault="00645739" w:rsidP="00645739">
      <w:pPr>
        <w:numPr>
          <w:ilvl w:val="0"/>
          <w:numId w:val="2"/>
        </w:numPr>
        <w:jc w:val="both"/>
        <w:rPr>
          <w:rFonts w:ascii="Times New Roman" w:hAnsi="Times New Roman" w:cs="Times New Roman"/>
        </w:rPr>
      </w:pPr>
      <w:r w:rsidRPr="00645739">
        <w:rPr>
          <w:rFonts w:ascii="Times New Roman" w:hAnsi="Times New Roman" w:cs="Times New Roman"/>
          <w:b/>
          <w:bCs/>
        </w:rPr>
        <w:t>Phase 3: Data Visualization &amp; Dashboarding</w:t>
      </w:r>
    </w:p>
    <w:p w14:paraId="5FC2E536" w14:textId="77777777" w:rsidR="00645739" w:rsidRDefault="00645739" w:rsidP="00645739">
      <w:pPr>
        <w:jc w:val="both"/>
        <w:rPr>
          <w:rFonts w:ascii="Times New Roman" w:hAnsi="Times New Roman" w:cs="Times New Roman"/>
        </w:rPr>
      </w:pPr>
      <w:r w:rsidRPr="00645739">
        <w:rPr>
          <w:rFonts w:ascii="Times New Roman" w:hAnsi="Times New Roman" w:cs="Times New Roman"/>
        </w:rPr>
        <w:t xml:space="preserve">A centralized, dark-themed dashboard was built using </w:t>
      </w:r>
      <w:proofErr w:type="spellStart"/>
      <w:r w:rsidRPr="00645739">
        <w:rPr>
          <w:rFonts w:ascii="Times New Roman" w:hAnsi="Times New Roman" w:cs="Times New Roman"/>
        </w:rPr>
        <w:t>PivotCharts</w:t>
      </w:r>
      <w:proofErr w:type="spellEnd"/>
      <w:r w:rsidRPr="00645739">
        <w:rPr>
          <w:rFonts w:ascii="Times New Roman" w:hAnsi="Times New Roman" w:cs="Times New Roman"/>
        </w:rPr>
        <w:t>. The UI/UX was optimized by maximizing the data-ink ratio—removing gridlines, hiding field buttons, and flattening 3D elements. Interactive Slicers were connected to the data model, serving as a control panel for cross-filtering by region, sex, and smoker status.</w:t>
      </w:r>
    </w:p>
    <w:p w14:paraId="0577CDCC" w14:textId="77777777" w:rsidR="00645739" w:rsidRDefault="00645739" w:rsidP="00645739">
      <w:pPr>
        <w:jc w:val="both"/>
        <w:rPr>
          <w:rFonts w:ascii="Times New Roman" w:hAnsi="Times New Roman" w:cs="Times New Roman"/>
        </w:rPr>
      </w:pPr>
    </w:p>
    <w:p w14:paraId="181D5FAC" w14:textId="77777777" w:rsidR="00645739" w:rsidRPr="00645739" w:rsidRDefault="00645739" w:rsidP="00645739">
      <w:pPr>
        <w:jc w:val="both"/>
        <w:rPr>
          <w:rFonts w:ascii="Times New Roman" w:hAnsi="Times New Roman" w:cs="Times New Roman"/>
        </w:rPr>
      </w:pPr>
    </w:p>
    <w:p w14:paraId="52E02946" w14:textId="77777777" w:rsidR="00645739" w:rsidRPr="00645739" w:rsidRDefault="00645739" w:rsidP="00645739">
      <w:pPr>
        <w:jc w:val="both"/>
        <w:rPr>
          <w:rFonts w:ascii="Times New Roman" w:hAnsi="Times New Roman" w:cs="Times New Roman"/>
          <w:b/>
          <w:bCs/>
          <w:sz w:val="28"/>
          <w:szCs w:val="28"/>
        </w:rPr>
      </w:pPr>
      <w:r w:rsidRPr="00645739">
        <w:rPr>
          <w:rFonts w:ascii="Times New Roman" w:hAnsi="Times New Roman" w:cs="Times New Roman"/>
          <w:b/>
          <w:bCs/>
          <w:sz w:val="28"/>
          <w:szCs w:val="28"/>
        </w:rPr>
        <w:t>4. Key Findings &amp; Insights</w:t>
      </w:r>
    </w:p>
    <w:p w14:paraId="7C9C4867" w14:textId="77777777" w:rsidR="00645739" w:rsidRPr="00645739" w:rsidRDefault="00645739" w:rsidP="00645739">
      <w:pPr>
        <w:jc w:val="both"/>
        <w:rPr>
          <w:rFonts w:ascii="Times New Roman" w:hAnsi="Times New Roman" w:cs="Times New Roman"/>
        </w:rPr>
      </w:pPr>
      <w:r w:rsidRPr="00645739">
        <w:rPr>
          <w:rFonts w:ascii="Times New Roman" w:hAnsi="Times New Roman" w:cs="Times New Roman"/>
        </w:rPr>
        <w:t>Based on the visual analysis, four major narratives emerged regarding medical warehouse costs:</w:t>
      </w:r>
    </w:p>
    <w:p w14:paraId="12929FCA" w14:textId="77777777" w:rsidR="00645739" w:rsidRPr="00645739" w:rsidRDefault="00645739" w:rsidP="00645739">
      <w:pPr>
        <w:numPr>
          <w:ilvl w:val="0"/>
          <w:numId w:val="3"/>
        </w:numPr>
        <w:jc w:val="both"/>
        <w:rPr>
          <w:rFonts w:ascii="Times New Roman" w:hAnsi="Times New Roman" w:cs="Times New Roman"/>
        </w:rPr>
      </w:pPr>
      <w:r w:rsidRPr="00645739">
        <w:rPr>
          <w:rFonts w:ascii="Times New Roman" w:hAnsi="Times New Roman" w:cs="Times New Roman"/>
          <w:b/>
          <w:bCs/>
        </w:rPr>
        <w:t>The Smoking Penalty is the Dominant Variable:</w:t>
      </w:r>
    </w:p>
    <w:p w14:paraId="1E08D257" w14:textId="77777777" w:rsidR="00645739" w:rsidRPr="00645739" w:rsidRDefault="00645739" w:rsidP="00645739">
      <w:pPr>
        <w:jc w:val="both"/>
        <w:rPr>
          <w:rFonts w:ascii="Times New Roman" w:hAnsi="Times New Roman" w:cs="Times New Roman"/>
        </w:rPr>
      </w:pPr>
      <w:r w:rsidRPr="00645739">
        <w:rPr>
          <w:rFonts w:ascii="Times New Roman" w:hAnsi="Times New Roman" w:cs="Times New Roman"/>
        </w:rPr>
        <w:t>Smoking status is the single largest driver of healthcare expenses. The data reveals a stark, immediate premium gap between smokers and non-smokers, completely dwarfing the financial impact of standard demographic factors.</w:t>
      </w:r>
    </w:p>
    <w:p w14:paraId="537A11CC" w14:textId="77777777" w:rsidR="00645739" w:rsidRPr="00645739" w:rsidRDefault="00645739" w:rsidP="00645739">
      <w:pPr>
        <w:numPr>
          <w:ilvl w:val="0"/>
          <w:numId w:val="3"/>
        </w:numPr>
        <w:jc w:val="both"/>
        <w:rPr>
          <w:rFonts w:ascii="Times New Roman" w:hAnsi="Times New Roman" w:cs="Times New Roman"/>
        </w:rPr>
      </w:pPr>
      <w:r w:rsidRPr="00645739">
        <w:rPr>
          <w:rFonts w:ascii="Times New Roman" w:hAnsi="Times New Roman" w:cs="Times New Roman"/>
          <w:b/>
          <w:bCs/>
        </w:rPr>
        <w:t>BMI Acts as a Cost Multiplier:</w:t>
      </w:r>
    </w:p>
    <w:p w14:paraId="0D098FD0" w14:textId="77777777" w:rsidR="00645739" w:rsidRPr="00645739" w:rsidRDefault="00645739" w:rsidP="00645739">
      <w:pPr>
        <w:jc w:val="both"/>
        <w:rPr>
          <w:rFonts w:ascii="Times New Roman" w:hAnsi="Times New Roman" w:cs="Times New Roman"/>
        </w:rPr>
      </w:pPr>
      <w:r w:rsidRPr="00645739">
        <w:rPr>
          <w:rFonts w:ascii="Times New Roman" w:hAnsi="Times New Roman" w:cs="Times New Roman"/>
        </w:rPr>
        <w:t>While age provides a steady, linear baseline for cost increases over a patient's lifetime, Body Mass Index acts as a severe financial multiplier. Patients crossing into the "Obese" category (BMI &gt; 30) experience a disproportionate spike in charges, a trend that accelerates drastically if the patient also smokes.</w:t>
      </w:r>
    </w:p>
    <w:p w14:paraId="42DEC3BA" w14:textId="77777777" w:rsidR="00645739" w:rsidRPr="00645739" w:rsidRDefault="00645739" w:rsidP="00645739">
      <w:pPr>
        <w:numPr>
          <w:ilvl w:val="0"/>
          <w:numId w:val="3"/>
        </w:numPr>
        <w:jc w:val="both"/>
        <w:rPr>
          <w:rFonts w:ascii="Times New Roman" w:hAnsi="Times New Roman" w:cs="Times New Roman"/>
        </w:rPr>
      </w:pPr>
      <w:r w:rsidRPr="00645739">
        <w:rPr>
          <w:rFonts w:ascii="Times New Roman" w:hAnsi="Times New Roman" w:cs="Times New Roman"/>
          <w:b/>
          <w:bCs/>
        </w:rPr>
        <w:t>Age Shows a Linear Cost Progression:</w:t>
      </w:r>
    </w:p>
    <w:p w14:paraId="77079401" w14:textId="77777777" w:rsidR="00645739" w:rsidRPr="00645739" w:rsidRDefault="00645739" w:rsidP="00645739">
      <w:pPr>
        <w:jc w:val="both"/>
        <w:rPr>
          <w:rFonts w:ascii="Times New Roman" w:hAnsi="Times New Roman" w:cs="Times New Roman"/>
        </w:rPr>
      </w:pPr>
      <w:r w:rsidRPr="00645739">
        <w:rPr>
          <w:rFonts w:ascii="Times New Roman" w:hAnsi="Times New Roman" w:cs="Times New Roman"/>
        </w:rPr>
        <w:t>As expected, the cost trend line moves steadily upward as patients age from &lt;30 to 50+. However, this natural aging curve is much flatter and less volatile than the spikes caused by poor lifestyle habits.</w:t>
      </w:r>
    </w:p>
    <w:p w14:paraId="78C5D79B" w14:textId="77777777" w:rsidR="00645739" w:rsidRPr="00645739" w:rsidRDefault="00645739" w:rsidP="00645739">
      <w:pPr>
        <w:numPr>
          <w:ilvl w:val="0"/>
          <w:numId w:val="3"/>
        </w:numPr>
        <w:jc w:val="both"/>
        <w:rPr>
          <w:rFonts w:ascii="Times New Roman" w:hAnsi="Times New Roman" w:cs="Times New Roman"/>
        </w:rPr>
      </w:pPr>
      <w:r w:rsidRPr="00645739">
        <w:rPr>
          <w:rFonts w:ascii="Times New Roman" w:hAnsi="Times New Roman" w:cs="Times New Roman"/>
          <w:b/>
          <w:bCs/>
        </w:rPr>
        <w:t>Geographic Neutrality:</w:t>
      </w:r>
    </w:p>
    <w:p w14:paraId="58ED4F37" w14:textId="77777777" w:rsidR="00645739" w:rsidRPr="00645739" w:rsidRDefault="00645739" w:rsidP="00645739">
      <w:pPr>
        <w:jc w:val="both"/>
        <w:rPr>
          <w:rFonts w:ascii="Times New Roman" w:hAnsi="Times New Roman" w:cs="Times New Roman"/>
        </w:rPr>
      </w:pPr>
      <w:r w:rsidRPr="00645739">
        <w:rPr>
          <w:rFonts w:ascii="Times New Roman" w:hAnsi="Times New Roman" w:cs="Times New Roman"/>
        </w:rPr>
        <w:t>Average costs and risk distributions remain surprisingly uniform across the Northeast, Northwest, Southeast, and Southwest regions. The data indicates that individual health metrics heavily outweigh a patient's geographic location.</w:t>
      </w:r>
    </w:p>
    <w:p w14:paraId="2304DF34" w14:textId="77777777" w:rsidR="00645739" w:rsidRPr="00645739" w:rsidRDefault="00645739" w:rsidP="00645739">
      <w:pPr>
        <w:jc w:val="both"/>
        <w:rPr>
          <w:rFonts w:ascii="Times New Roman" w:hAnsi="Times New Roman" w:cs="Times New Roman"/>
          <w:b/>
          <w:bCs/>
        </w:rPr>
      </w:pPr>
      <w:r w:rsidRPr="00645739">
        <w:rPr>
          <w:rFonts w:ascii="Times New Roman" w:hAnsi="Times New Roman" w:cs="Times New Roman"/>
          <w:b/>
          <w:bCs/>
        </w:rPr>
        <w:t>5. Strategic Business Recommendations</w:t>
      </w:r>
    </w:p>
    <w:p w14:paraId="0CF388CA" w14:textId="77777777" w:rsidR="00645739" w:rsidRPr="00645739" w:rsidRDefault="00645739" w:rsidP="00645739">
      <w:pPr>
        <w:jc w:val="both"/>
        <w:rPr>
          <w:rFonts w:ascii="Times New Roman" w:hAnsi="Times New Roman" w:cs="Times New Roman"/>
        </w:rPr>
      </w:pPr>
      <w:r w:rsidRPr="00645739">
        <w:rPr>
          <w:rFonts w:ascii="Times New Roman" w:hAnsi="Times New Roman" w:cs="Times New Roman"/>
        </w:rPr>
        <w:t>For a medical insurance provider or healthcare network, these insights point to several strategic actions:</w:t>
      </w:r>
    </w:p>
    <w:p w14:paraId="75D35804" w14:textId="77777777" w:rsidR="00645739" w:rsidRPr="00645739" w:rsidRDefault="00645739" w:rsidP="00645739">
      <w:pPr>
        <w:numPr>
          <w:ilvl w:val="0"/>
          <w:numId w:val="4"/>
        </w:numPr>
        <w:jc w:val="both"/>
        <w:rPr>
          <w:rFonts w:ascii="Times New Roman" w:hAnsi="Times New Roman" w:cs="Times New Roman"/>
        </w:rPr>
      </w:pPr>
      <w:r w:rsidRPr="00645739">
        <w:rPr>
          <w:rFonts w:ascii="Times New Roman" w:hAnsi="Times New Roman" w:cs="Times New Roman"/>
          <w:b/>
          <w:bCs/>
        </w:rPr>
        <w:lastRenderedPageBreak/>
        <w:t>Restructure Premium Tiering:</w:t>
      </w:r>
      <w:r w:rsidRPr="00645739">
        <w:rPr>
          <w:rFonts w:ascii="Times New Roman" w:hAnsi="Times New Roman" w:cs="Times New Roman"/>
        </w:rPr>
        <w:t xml:space="preserve"> Implement strict pricing models heavily weighted by smoking status. The cost discrepancy is too large to absorb into generalized risk pools; non-smokers should receive discounted premiums to reflect their significantly lower draw on warehouse funds.</w:t>
      </w:r>
    </w:p>
    <w:p w14:paraId="47E478DB" w14:textId="77777777" w:rsidR="00645739" w:rsidRPr="00645739" w:rsidRDefault="00645739" w:rsidP="00645739">
      <w:pPr>
        <w:numPr>
          <w:ilvl w:val="0"/>
          <w:numId w:val="4"/>
        </w:numPr>
        <w:jc w:val="both"/>
        <w:rPr>
          <w:rFonts w:ascii="Times New Roman" w:hAnsi="Times New Roman" w:cs="Times New Roman"/>
        </w:rPr>
      </w:pPr>
      <w:r w:rsidRPr="00645739">
        <w:rPr>
          <w:rFonts w:ascii="Times New Roman" w:hAnsi="Times New Roman" w:cs="Times New Roman"/>
          <w:b/>
          <w:bCs/>
        </w:rPr>
        <w:t>Incentivize Preventative Wellness:</w:t>
      </w:r>
      <w:r w:rsidRPr="00645739">
        <w:rPr>
          <w:rFonts w:ascii="Times New Roman" w:hAnsi="Times New Roman" w:cs="Times New Roman"/>
        </w:rPr>
        <w:t xml:space="preserve"> Because the combination of obesity and smoking triggers the highest cost brackets, the business should invest heavily in preventative health initiatives. Offering premium discounts or financial rewards for participating in smoking cessation programs or maintaining a healthy BMI will cost less upfront than paying out compounding medical charges later.</w:t>
      </w:r>
    </w:p>
    <w:p w14:paraId="22FD3683" w14:textId="77777777" w:rsidR="00645739" w:rsidRDefault="00645739" w:rsidP="00645739">
      <w:pPr>
        <w:numPr>
          <w:ilvl w:val="0"/>
          <w:numId w:val="4"/>
        </w:numPr>
        <w:jc w:val="both"/>
        <w:rPr>
          <w:rFonts w:ascii="Times New Roman" w:hAnsi="Times New Roman" w:cs="Times New Roman"/>
        </w:rPr>
      </w:pPr>
      <w:r w:rsidRPr="00645739">
        <w:rPr>
          <w:rFonts w:ascii="Times New Roman" w:hAnsi="Times New Roman" w:cs="Times New Roman"/>
          <w:b/>
          <w:bCs/>
        </w:rPr>
        <w:t>Standardize Regional Pricing:</w:t>
      </w:r>
      <w:r w:rsidRPr="00645739">
        <w:rPr>
          <w:rFonts w:ascii="Times New Roman" w:hAnsi="Times New Roman" w:cs="Times New Roman"/>
        </w:rPr>
        <w:t xml:space="preserve"> Since geographic location has a negligible impact on overall cost distribution, the business can save administrative overhead by standardizing baseline pricing models nationally, focusing underwriting efforts purely on individual health metrics instead.</w:t>
      </w:r>
    </w:p>
    <w:p w14:paraId="30F00B9B" w14:textId="77777777" w:rsidR="00645739" w:rsidRDefault="00645739" w:rsidP="00645739">
      <w:pPr>
        <w:ind w:left="720"/>
        <w:jc w:val="both"/>
        <w:rPr>
          <w:rFonts w:ascii="Times New Roman" w:hAnsi="Times New Roman" w:cs="Times New Roman"/>
          <w:b/>
          <w:bCs/>
        </w:rPr>
      </w:pPr>
    </w:p>
    <w:p w14:paraId="2CC2FEB6" w14:textId="77777777" w:rsidR="00645739" w:rsidRPr="00645739" w:rsidRDefault="00645739" w:rsidP="00645739">
      <w:pPr>
        <w:ind w:left="720"/>
        <w:jc w:val="both"/>
        <w:rPr>
          <w:rFonts w:ascii="Times New Roman" w:hAnsi="Times New Roman" w:cs="Times New Roman"/>
        </w:rPr>
      </w:pPr>
    </w:p>
    <w:p w14:paraId="672107F8" w14:textId="77777777" w:rsidR="00645739" w:rsidRPr="00645739" w:rsidRDefault="00645739" w:rsidP="00645739">
      <w:pPr>
        <w:jc w:val="both"/>
        <w:rPr>
          <w:rFonts w:ascii="Times New Roman" w:hAnsi="Times New Roman" w:cs="Times New Roman"/>
          <w:b/>
          <w:bCs/>
          <w:sz w:val="28"/>
          <w:szCs w:val="28"/>
        </w:rPr>
      </w:pPr>
      <w:r w:rsidRPr="00645739">
        <w:rPr>
          <w:rFonts w:ascii="Times New Roman" w:hAnsi="Times New Roman" w:cs="Times New Roman"/>
          <w:b/>
          <w:bCs/>
          <w:sz w:val="28"/>
          <w:szCs w:val="28"/>
        </w:rPr>
        <w:t>6. Conclusion</w:t>
      </w:r>
    </w:p>
    <w:p w14:paraId="793BA0C3" w14:textId="77777777" w:rsidR="00645739" w:rsidRPr="00645739" w:rsidRDefault="00645739" w:rsidP="00645739">
      <w:pPr>
        <w:jc w:val="both"/>
        <w:rPr>
          <w:rFonts w:ascii="Times New Roman" w:hAnsi="Times New Roman" w:cs="Times New Roman"/>
        </w:rPr>
      </w:pPr>
      <w:r w:rsidRPr="00645739">
        <w:rPr>
          <w:rFonts w:ascii="Times New Roman" w:hAnsi="Times New Roman" w:cs="Times New Roman"/>
        </w:rPr>
        <w:t>The Medical Data Warehouse Cost Analysis successfully isolates the root causes of fluctuating healthcare charges. By leveraging Excel and Power Query to build a clean, interactive BI tool, this project provides a clear framework for stakeholders to pivot away from guessing and move toward data-driven underwriting and risk management.</w:t>
      </w:r>
    </w:p>
    <w:p w14:paraId="1ABE88AD" w14:textId="77777777" w:rsidR="00645739" w:rsidRPr="00645739" w:rsidRDefault="00645739" w:rsidP="00645739">
      <w:pPr>
        <w:jc w:val="both"/>
        <w:rPr>
          <w:rFonts w:ascii="Times New Roman" w:hAnsi="Times New Roman" w:cs="Times New Roman"/>
        </w:rPr>
      </w:pPr>
    </w:p>
    <w:sectPr w:rsidR="00645739" w:rsidRPr="0064573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E761D8"/>
    <w:multiLevelType w:val="multilevel"/>
    <w:tmpl w:val="EB6AC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125A02"/>
    <w:multiLevelType w:val="multilevel"/>
    <w:tmpl w:val="823A6A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A113446"/>
    <w:multiLevelType w:val="multilevel"/>
    <w:tmpl w:val="62F26B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A703D4C"/>
    <w:multiLevelType w:val="multilevel"/>
    <w:tmpl w:val="9B5A4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8706894">
    <w:abstractNumId w:val="0"/>
  </w:num>
  <w:num w:numId="2" w16cid:durableId="1835023492">
    <w:abstractNumId w:val="1"/>
  </w:num>
  <w:num w:numId="3" w16cid:durableId="595594332">
    <w:abstractNumId w:val="3"/>
  </w:num>
  <w:num w:numId="4" w16cid:durableId="79170739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5739"/>
    <w:rsid w:val="002250BF"/>
    <w:rsid w:val="0064573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F30976"/>
  <w15:chartTrackingRefBased/>
  <w15:docId w15:val="{F43ADA22-33DD-40A2-9FCC-EDFF3C1835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4573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4573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4573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4573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4573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457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57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57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57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573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4573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4573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4573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4573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457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57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57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5739"/>
    <w:rPr>
      <w:rFonts w:eastAsiaTheme="majorEastAsia" w:cstheme="majorBidi"/>
      <w:color w:val="272727" w:themeColor="text1" w:themeTint="D8"/>
    </w:rPr>
  </w:style>
  <w:style w:type="paragraph" w:styleId="Title">
    <w:name w:val="Title"/>
    <w:basedOn w:val="Normal"/>
    <w:next w:val="Normal"/>
    <w:link w:val="TitleChar"/>
    <w:uiPriority w:val="10"/>
    <w:qFormat/>
    <w:rsid w:val="006457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57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57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57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5739"/>
    <w:pPr>
      <w:spacing w:before="160"/>
      <w:jc w:val="center"/>
    </w:pPr>
    <w:rPr>
      <w:i/>
      <w:iCs/>
      <w:color w:val="404040" w:themeColor="text1" w:themeTint="BF"/>
    </w:rPr>
  </w:style>
  <w:style w:type="character" w:customStyle="1" w:styleId="QuoteChar">
    <w:name w:val="Quote Char"/>
    <w:basedOn w:val="DefaultParagraphFont"/>
    <w:link w:val="Quote"/>
    <w:uiPriority w:val="29"/>
    <w:rsid w:val="00645739"/>
    <w:rPr>
      <w:i/>
      <w:iCs/>
      <w:color w:val="404040" w:themeColor="text1" w:themeTint="BF"/>
    </w:rPr>
  </w:style>
  <w:style w:type="paragraph" w:styleId="ListParagraph">
    <w:name w:val="List Paragraph"/>
    <w:basedOn w:val="Normal"/>
    <w:uiPriority w:val="34"/>
    <w:qFormat/>
    <w:rsid w:val="00645739"/>
    <w:pPr>
      <w:ind w:left="720"/>
      <w:contextualSpacing/>
    </w:pPr>
  </w:style>
  <w:style w:type="character" w:styleId="IntenseEmphasis">
    <w:name w:val="Intense Emphasis"/>
    <w:basedOn w:val="DefaultParagraphFont"/>
    <w:uiPriority w:val="21"/>
    <w:qFormat/>
    <w:rsid w:val="00645739"/>
    <w:rPr>
      <w:i/>
      <w:iCs/>
      <w:color w:val="2F5496" w:themeColor="accent1" w:themeShade="BF"/>
    </w:rPr>
  </w:style>
  <w:style w:type="paragraph" w:styleId="IntenseQuote">
    <w:name w:val="Intense Quote"/>
    <w:basedOn w:val="Normal"/>
    <w:next w:val="Normal"/>
    <w:link w:val="IntenseQuoteChar"/>
    <w:uiPriority w:val="30"/>
    <w:qFormat/>
    <w:rsid w:val="0064573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45739"/>
    <w:rPr>
      <w:i/>
      <w:iCs/>
      <w:color w:val="2F5496" w:themeColor="accent1" w:themeShade="BF"/>
    </w:rPr>
  </w:style>
  <w:style w:type="character" w:styleId="IntenseReference">
    <w:name w:val="Intense Reference"/>
    <w:basedOn w:val="DefaultParagraphFont"/>
    <w:uiPriority w:val="32"/>
    <w:qFormat/>
    <w:rsid w:val="0064573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3</Pages>
  <Words>734</Words>
  <Characters>4185</Characters>
  <Application>Microsoft Office Word</Application>
  <DocSecurity>0</DocSecurity>
  <Lines>34</Lines>
  <Paragraphs>9</Paragraphs>
  <ScaleCrop>false</ScaleCrop>
  <Company/>
  <LinksUpToDate>false</LinksUpToDate>
  <CharactersWithSpaces>4910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psyphernvn@gmail.com</dc:creator>
  <cp:keywords/>
  <dc:description/>
  <cp:lastModifiedBy>psyphernvn@gmail.com</cp:lastModifiedBy>
  <cp:revision>1</cp:revision>
  <dcterms:created xsi:type="dcterms:W3CDTF">2026-03-28T18:06:00Z</dcterms:created>
  <dcterms:modified xsi:type="dcterms:W3CDTF">2026-03-28T18:11:00Z</dcterms:modified>
</cp:coreProperties>
</file>