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AF8B" w14:textId="453E20C1" w:rsidR="003706A5" w:rsidRPr="006C26DE" w:rsidRDefault="003706A5" w:rsidP="003706A5">
      <w:pPr>
        <w:spacing w:line="360" w:lineRule="auto"/>
        <w:jc w:val="both"/>
        <w:rPr>
          <w:rFonts w:cs="Arial"/>
        </w:rPr>
      </w:pPr>
      <w:r w:rsidRPr="006C26DE">
        <w:rPr>
          <w:rFonts w:cs="Arial"/>
        </w:rPr>
        <w:t xml:space="preserve">Founded in 1989, NTT DATA Business</w:t>
      </w:r>
      <w:r w:rsidR="004A5FFA">
        <w:rPr>
          <w:rFonts w:cs="Arial"/>
        </w:rPr>
        <w:t xml:space="preserve"> Ganesh</w:t>
      </w:r>
      <w:r w:rsidRPr="006C26DE">
        <w:rPr>
          <w:rFonts w:cs="Arial"/>
        </w:rPr>
        <w:t xml:space="preserve"> Solutions currently has more than </w:t>
      </w:r>
      <w:r w:rsidRPr="00912CDB">
        <w:rPr>
          <w:rFonts w:cs="Arial"/>
          <w:highlight w:val="yellow"/>
        </w:rPr>
        <w:t>12,000</w:t>
      </w:r>
      <w:r w:rsidRPr="006C26DE">
        <w:rPr>
          <w:rFonts w:cs="Arial"/>
        </w:rPr>
        <w:t xml:space="preserve"> employees providing services in </w:t>
      </w:r>
      <w:r w:rsidRPr="00C24B3C">
        <w:rPr>
          <w:rFonts w:cs="Arial"/>
          <w:highlight w:val="yellow"/>
        </w:rPr>
        <w:t>30</w:t>
      </w:r>
      <w:r w:rsidRPr="006C26DE">
        <w:rPr>
          <w:rFonts w:cs="Arial"/>
        </w:rPr>
        <w:t xml:space="preserve"> countries around the world. Our Managed Services resources are some of the most experienced SAP consultants in the industry. The diagram illustrates our performance over the past 5 years. In </w:t>
      </w:r>
      <w:r w:rsidRPr="00912CDB">
        <w:rPr>
          <w:rFonts w:cs="Arial"/>
          <w:highlight w:val="yellow"/>
        </w:rPr>
        <w:t>2021-2022</w:t>
      </w:r>
      <w:r w:rsidRPr="006C26DE">
        <w:rPr>
          <w:rFonts w:cs="Arial"/>
        </w:rPr>
        <w:t xml:space="preserve">, NTT DATA Business Solutions posted annual revenues of </w:t>
      </w:r>
      <w:r w:rsidRPr="00C24B3C">
        <w:rPr>
          <w:rFonts w:cs="Arial"/>
          <w:highlight w:val="yellow"/>
        </w:rPr>
        <w:t>1.2</w:t>
      </w:r>
      <w:r w:rsidRPr="006C26DE">
        <w:rPr>
          <w:rFonts w:cs="Arial"/>
        </w:rPr>
        <w:t>+ Billion USD.</w:t>
      </w:r>
    </w:p>
    <w:p w14:paraId="1B284742" w14:textId="77777777" w:rsidR="003706A5" w:rsidRPr="00E21E40" w:rsidRDefault="003706A5" w:rsidP="003706A5">
      <w:pPr>
        <w:jc w:val="center"/>
        <w:rPr>
          <w:rFonts w:cs="Arial"/>
        </w:rPr>
      </w:pPr>
      <w:r w:rsidRPr="00E21E40">
        <w:rPr>
          <w:rFonts w:cs="Arial"/>
          <w:noProof/>
        </w:rPr>
        <w:drawing>
          <wp:inline distT="0" distB="0" distL="0" distR="0" wp14:anchorId="0D53BF6F" wp14:editId="60E3B56D">
            <wp:extent cx="5943600" cy="2648585"/>
            <wp:effectExtent l="19050" t="19050" r="19050" b="18415"/>
            <wp:docPr id="10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8585"/>
                    </a:xfrm>
                    <a:prstGeom prst="rect">
                      <a:avLst/>
                    </a:prstGeom>
                    <a:ln>
                      <a:solidFill>
                        <a:srgbClr val="BC4328"/>
                      </a:solidFill>
                    </a:ln>
                  </pic:spPr>
                </pic:pic>
              </a:graphicData>
            </a:graphic>
          </wp:inline>
        </w:drawing>
      </w:r>
    </w:p>
    <w:p w14:paraId="734267B2" w14:textId="77777777" w:rsidR="003706A5" w:rsidRPr="006C26DE" w:rsidRDefault="003706A5" w:rsidP="003706A5">
      <w:pPr>
        <w:spacing w:line="360" w:lineRule="auto"/>
        <w:jc w:val="both"/>
        <w:rPr>
          <w:color w:val="BC4328"/>
          <w:lang w:val="en-IN"/>
        </w:rPr>
      </w:pPr>
      <w:bookmarkStart w:id="0" w:name="_Toc122097160"/>
      <w:bookmarkStart w:id="1" w:name="_Toc124361676"/>
      <w:bookmarkStart w:id="2" w:name="_Toc124450313"/>
      <w:r w:rsidRPr="006C26DE">
        <w:rPr>
          <w:color w:val="BC4328"/>
          <w:lang w:val="en-IN"/>
        </w:rPr>
        <w:t>Corporate Facts and Figures</w:t>
      </w:r>
      <w:bookmarkEnd w:id="0"/>
      <w:bookmarkEnd w:id="1"/>
      <w:bookmarkEnd w:id="2"/>
      <w:r w:rsidRPr="006C26DE">
        <w:rPr>
          <w:color w:val="BC4328"/>
          <w:lang w:val="en-IN"/>
        </w:rPr>
        <w:t xml:space="preserve"> </w:t>
      </w:r>
    </w:p>
    <w:p w14:paraId="559104C2" w14:textId="77777777" w:rsidR="003706A5" w:rsidRPr="006C26DE" w:rsidRDefault="003706A5" w:rsidP="003706A5">
      <w:pPr>
        <w:spacing w:line="360" w:lineRule="auto"/>
        <w:jc w:val="both"/>
        <w:rPr>
          <w:rFonts w:cs="Arial"/>
        </w:rPr>
      </w:pPr>
      <w:r w:rsidRPr="006C26DE">
        <w:rPr>
          <w:rFonts w:cs="Arial"/>
        </w:rPr>
        <w:t>NTT DATA Business Solutions falls under the NTT organization, which is the third largest telecommunications company in the world headquartered in Tokyo, Japan. This organization structure provides our company a remarkable capability to scale and to serve companies such as Columbus McKinnon with experienced resources and product experts. Further details concerning the NTT Corporation structure, alignment of NTT DATA Business Solutions within the overall corporate organization, and overall NTT company performance and global presence can be seen on the following graphics.</w:t>
      </w:r>
    </w:p>
    <w:p w14:paraId="3770724D" w14:textId="77777777" w:rsidR="003706A5" w:rsidRPr="00E21E40" w:rsidRDefault="003706A5" w:rsidP="003706A5">
      <w:pPr>
        <w:rPr>
          <w:rFonts w:cs="Arial"/>
        </w:rPr>
      </w:pPr>
      <w:r w:rsidRPr="00E21E40">
        <w:rPr>
          <w:rFonts w:cs="Arial"/>
          <w:noProof/>
        </w:rPr>
        <w:drawing>
          <wp:inline distT="0" distB="0" distL="0" distR="0" wp14:anchorId="1AB407F7" wp14:editId="07A261C1">
            <wp:extent cx="5943600" cy="2520315"/>
            <wp:effectExtent l="19050" t="19050" r="19050" b="13335"/>
            <wp:docPr id="10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0315"/>
                    </a:xfrm>
                    <a:prstGeom prst="rect">
                      <a:avLst/>
                    </a:prstGeom>
                    <a:ln>
                      <a:solidFill>
                        <a:srgbClr val="BC4328"/>
                      </a:solidFill>
                    </a:ln>
                  </pic:spPr>
                </pic:pic>
              </a:graphicData>
            </a:graphic>
          </wp:inline>
        </w:drawing>
      </w:r>
    </w:p>
    <w:p w14:paraId="6FDDB60F" w14:textId="77777777" w:rsidR="003706A5" w:rsidRDefault="003706A5" w:rsidP="003706A5">
      <w:pPr>
        <w:jc w:val="both"/>
        <w:rPr>
          <w:color w:val="BC4328"/>
          <w:lang w:val="en-IN"/>
        </w:rPr>
      </w:pPr>
      <w:bookmarkStart w:id="3" w:name="_Toc106039322"/>
      <w:bookmarkStart w:id="4" w:name="_Toc115989679"/>
      <w:bookmarkStart w:id="5" w:name="_Toc120138761"/>
      <w:bookmarkStart w:id="6" w:name="_Toc122097161"/>
      <w:bookmarkStart w:id="7" w:name="_Toc124361677"/>
    </w:p>
    <w:p w14:paraId="279E3F3C" w14:textId="77777777" w:rsidR="003706A5" w:rsidRPr="006C26DE" w:rsidRDefault="003706A5" w:rsidP="003706A5">
      <w:pPr>
        <w:spacing w:line="360" w:lineRule="auto"/>
        <w:jc w:val="both"/>
        <w:rPr>
          <w:color w:val="BC4328"/>
          <w:lang w:val="en-IN"/>
        </w:rPr>
      </w:pPr>
      <w:r w:rsidRPr="006C26DE">
        <w:rPr>
          <w:color w:val="BC4328"/>
          <w:lang w:val="en-IN"/>
        </w:rPr>
        <w:t xml:space="preserve"> </w:t>
      </w:r>
      <w:bookmarkStart w:id="8" w:name="_Toc124450314"/>
      <w:r w:rsidRPr="006C26DE">
        <w:rPr>
          <w:color w:val="BC4328"/>
          <w:lang w:val="en-IN"/>
        </w:rPr>
        <w:t>S/4HANA Experience</w:t>
      </w:r>
      <w:bookmarkEnd w:id="3"/>
      <w:bookmarkEnd w:id="4"/>
      <w:bookmarkEnd w:id="5"/>
      <w:bookmarkEnd w:id="6"/>
      <w:bookmarkEnd w:id="7"/>
      <w:bookmarkEnd w:id="8"/>
    </w:p>
    <w:p w14:paraId="7CEC95EB" w14:textId="77777777" w:rsidR="003706A5" w:rsidRPr="006C26DE" w:rsidRDefault="003706A5" w:rsidP="003706A5">
      <w:pPr>
        <w:spacing w:line="360" w:lineRule="auto"/>
        <w:jc w:val="both"/>
        <w:rPr>
          <w:rFonts w:cs="Arial"/>
        </w:rPr>
      </w:pPr>
      <w:r w:rsidRPr="006C26DE">
        <w:rPr>
          <w:rFonts w:cs="Arial"/>
        </w:rPr>
        <w:lastRenderedPageBreak/>
        <w:t>NTT DATA Business Solutions has over 8</w:t>
      </w:r>
      <w:r>
        <w:rPr>
          <w:rFonts w:cs="Arial"/>
        </w:rPr>
        <w:t>0</w:t>
      </w:r>
      <w:r w:rsidRPr="006C26DE">
        <w:rPr>
          <w:rFonts w:cs="Arial"/>
        </w:rPr>
        <w:t>0 S/4 HANA Projects and boasts over 1000 HANA Database clients across a variety of SAP’s software product portfolio.  As early adopters of S/4, our consultants began practicing on S/4 early and its adoption has been a mainstay for almost 10 years.  We expect all of them to be considered S/4 resources.</w:t>
      </w:r>
    </w:p>
    <w:p w14:paraId="1B405042" w14:textId="77777777" w:rsidR="003706A5" w:rsidRDefault="003706A5" w:rsidP="003706A5">
      <w:pPr>
        <w:spacing w:line="360" w:lineRule="auto"/>
        <w:jc w:val="both"/>
        <w:rPr>
          <w:color w:val="BC4328"/>
          <w:lang w:val="en-IN"/>
        </w:rPr>
      </w:pPr>
      <w:r w:rsidRPr="006C26DE">
        <w:rPr>
          <w:color w:val="BC4328"/>
          <w:lang w:val="en-IN"/>
        </w:rPr>
        <w:t>NTT DATA Business Solutions | Global SAP HANA (S/4HANA) Expertise and fast adoption</w:t>
      </w:r>
    </w:p>
    <w:p w14:paraId="3D24D1DF" w14:textId="3B4CE967" w:rsidR="0063069C" w:rsidRPr="003706A5" w:rsidRDefault="00CB71A5" w:rsidP="00D44762">
      <w:pPr>
        <w:pStyle w:val="Heading2"/>
        <w:keepLines w:val="0"/>
        <w:numPr>
          <w:ilvl w:val="2"/>
          <w:numId w:val="0"/>
        </w:numPr>
        <w:jc w:val="both"/>
        <w:rPr>
          <w:lang w:val="en-IN"/>
        </w:rPr>
      </w:pPr>
      <w:r w:rsidRPr="00E21E40">
        <w:rPr>
          <w:rFonts w:cs="Arial"/>
          <w:noProof/>
        </w:rPr>
        <w:drawing>
          <wp:inline distT="0" distB="0" distL="0" distR="0" wp14:anchorId="10A2F933" wp14:editId="2E4AB341">
            <wp:extent cx="5943600" cy="2733040"/>
            <wp:effectExtent l="19050" t="19050" r="19050" b="10160"/>
            <wp:docPr id="100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3040"/>
                    </a:xfrm>
                    <a:prstGeom prst="rect">
                      <a:avLst/>
                    </a:prstGeom>
                    <a:ln>
                      <a:solidFill>
                        <a:srgbClr val="BC4328"/>
                      </a:solidFill>
                    </a:ln>
                  </pic:spPr>
                </pic:pic>
              </a:graphicData>
            </a:graphic>
          </wp:inline>
        </w:drawing>
      </w:r>
    </w:p>
    <w:sectPr w:rsidR="0063069C" w:rsidRPr="003706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D4361" w14:textId="77777777" w:rsidR="003A0E1F" w:rsidRDefault="003A0E1F" w:rsidP="00697850">
      <w:r>
        <w:separator/>
      </w:r>
    </w:p>
  </w:endnote>
  <w:endnote w:type="continuationSeparator" w:id="0">
    <w:p w14:paraId="2977DB3C" w14:textId="77777777" w:rsidR="003A0E1F" w:rsidRDefault="003A0E1F" w:rsidP="00697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8D18E" w14:textId="77777777" w:rsidR="003A0E1F" w:rsidRDefault="003A0E1F" w:rsidP="00697850">
      <w:r>
        <w:separator/>
      </w:r>
    </w:p>
  </w:footnote>
  <w:footnote w:type="continuationSeparator" w:id="0">
    <w:p w14:paraId="6EEC987B" w14:textId="77777777" w:rsidR="003A0E1F" w:rsidRDefault="003A0E1F" w:rsidP="00697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F1585"/>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4430CD"/>
    <w:multiLevelType w:val="multilevel"/>
    <w:tmpl w:val="157EEAFA"/>
    <w:lvl w:ilvl="0">
      <w:start w:val="1"/>
      <w:numFmt w:val="decimal"/>
      <w:lvlText w:val="%1."/>
      <w:lvlJc w:val="left"/>
      <w:pPr>
        <w:tabs>
          <w:tab w:val="num" w:pos="567"/>
        </w:tabs>
        <w:ind w:left="0" w:firstLine="0"/>
      </w:pPr>
      <w:rPr>
        <w:rFonts w:hint="default"/>
        <w:b w:val="0"/>
        <w:i w:val="0"/>
        <w:sz w:val="32"/>
        <w:szCs w:val="32"/>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0366346">
    <w:abstractNumId w:val="0"/>
  </w:num>
  <w:num w:numId="2" w16cid:durableId="230501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2E"/>
    <w:rsid w:val="003706A5"/>
    <w:rsid w:val="003A0E1F"/>
    <w:rsid w:val="004A5FFA"/>
    <w:rsid w:val="0063069C"/>
    <w:rsid w:val="00697850"/>
    <w:rsid w:val="00C269AB"/>
    <w:rsid w:val="00CB71A5"/>
    <w:rsid w:val="00D44762"/>
    <w:rsid w:val="00F76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D68F5"/>
  <w15:chartTrackingRefBased/>
  <w15:docId w15:val="{A6F0BE68-E3E5-4EBE-9157-9ED43A4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22E"/>
    <w:pPr>
      <w:spacing w:after="0" w:line="240" w:lineRule="auto"/>
    </w:pPr>
    <w:rPr>
      <w:rFonts w:eastAsiaTheme="minorHAnsi"/>
      <w:kern w:val="0"/>
      <w:sz w:val="20"/>
      <w:szCs w:val="20"/>
      <w:lang w:val="en-GB" w:eastAsia="en-US"/>
      <w14:ligatures w14:val="none"/>
    </w:rPr>
  </w:style>
  <w:style w:type="paragraph" w:styleId="Heading1">
    <w:name w:val="heading 1"/>
    <w:aliases w:val="h1,Section Title,Titre 1,h11,Section Title1,Titre 11,OT Hdg 1,OT Hdg 11,aa,H1,Titolo 1,Section Head,l1,T1,title1,title2,[Rubrik 1],Title 1,ÜRAN1,Überschrift RAN1,Heading 1A,heading 1,Überschrift1,Überschrift A1,h12,h13,h111,H11,Section Head1,g"/>
    <w:basedOn w:val="Normal"/>
    <w:next w:val="Normal"/>
    <w:link w:val="Heading1Char"/>
    <w:qFormat/>
    <w:rsid w:val="00F7622E"/>
    <w:pPr>
      <w:keepNext/>
      <w:keepLines/>
      <w:numPr>
        <w:numId w:val="1"/>
      </w:numPr>
      <w:spacing w:before="240" w:after="120" w:line="360" w:lineRule="auto"/>
      <w:outlineLvl w:val="0"/>
    </w:pPr>
    <w:rPr>
      <w:rFonts w:asciiTheme="majorHAnsi" w:eastAsiaTheme="majorEastAsia" w:hAnsiTheme="majorHAnsi" w:cstheme="majorBidi"/>
      <w:color w:val="FFC000" w:themeColor="accent4"/>
      <w:sz w:val="32"/>
      <w:szCs w:val="32"/>
    </w:rPr>
  </w:style>
  <w:style w:type="paragraph" w:styleId="Heading2">
    <w:name w:val="heading 2"/>
    <w:aliases w:val="Überschrift 2_R,e2,2,Chapter,1.Seite,Sub Heading,Körper,alt+2 (2. tason otsikko),2 headline,h,h2,Titre 2,h21,Titre 21,CCSDS,Level 1 Heading,H2,OT Hdg 2,OT Hdg ...,OT Hdg 21,paragraph,Disaster 2,s,H2dex,H21,l2,list + change bar,Heading 2n,T2,X"/>
    <w:basedOn w:val="Normal"/>
    <w:next w:val="Normal"/>
    <w:link w:val="Heading2Char"/>
    <w:qFormat/>
    <w:rsid w:val="00F7622E"/>
    <w:pPr>
      <w:keepNext/>
      <w:keepLines/>
      <w:numPr>
        <w:ilvl w:val="1"/>
        <w:numId w:val="1"/>
      </w:numPr>
      <w:spacing w:before="120" w:after="120" w:line="360" w:lineRule="auto"/>
      <w:outlineLvl w:val="1"/>
    </w:pPr>
    <w:rPr>
      <w:rFonts w:asciiTheme="majorHAnsi" w:eastAsiaTheme="majorEastAsia" w:hAnsiTheme="majorHAnsi" w:cstheme="majorBidi"/>
      <w:color w:val="FFC000" w:themeColor="accent4"/>
      <w:sz w:val="24"/>
      <w:szCs w:val="24"/>
    </w:rPr>
  </w:style>
  <w:style w:type="paragraph" w:styleId="Heading3">
    <w:name w:val="heading 3"/>
    <w:aliases w:val="3 bullet,b"/>
    <w:basedOn w:val="Normal"/>
    <w:next w:val="Normal"/>
    <w:link w:val="Heading3Char"/>
    <w:qFormat/>
    <w:rsid w:val="00F7622E"/>
    <w:pPr>
      <w:numPr>
        <w:ilvl w:val="2"/>
        <w:numId w:val="1"/>
      </w:numPr>
      <w:spacing w:before="120" w:after="120" w:line="360" w:lineRule="auto"/>
      <w:outlineLvl w:val="2"/>
    </w:pPr>
    <w:rPr>
      <w:color w:val="FFC000" w:themeColor="accent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Section Title Char,Titre 1 Char,h11 Char,Section Title1 Char,Titre 11 Char,OT Hdg 1 Char,OT Hdg 11 Char,aa Char,H1 Char,Titolo 1 Char,Section Head Char,l1 Char,T1 Char,title1 Char,title2 Char,[Rubrik 1] Char,Title 1 Char,h12 Char"/>
    <w:basedOn w:val="DefaultParagraphFont"/>
    <w:link w:val="Heading1"/>
    <w:rsid w:val="00F7622E"/>
    <w:rPr>
      <w:rFonts w:asciiTheme="majorHAnsi" w:eastAsiaTheme="majorEastAsia" w:hAnsiTheme="majorHAnsi" w:cstheme="majorBidi"/>
      <w:color w:val="FFC000" w:themeColor="accent4"/>
      <w:kern w:val="0"/>
      <w:sz w:val="32"/>
      <w:szCs w:val="32"/>
      <w:lang w:val="en-GB" w:eastAsia="en-US"/>
      <w14:ligatures w14:val="none"/>
    </w:rPr>
  </w:style>
  <w:style w:type="character" w:customStyle="1" w:styleId="Heading2Char">
    <w:name w:val="Heading 2 Char"/>
    <w:aliases w:val="Überschrift 2_R Char,e2 Char,2 Char,Chapter Char,1.Seite Char,Sub Heading Char,Körper Char,alt+2 (2. tason otsikko) Char,2 headline Char,h Char,h2 Char,Titre 2 Char,h21 Char,Titre 21 Char,CCSDS Char,Level 1 Heading Char,H2 Char,s Char"/>
    <w:basedOn w:val="DefaultParagraphFont"/>
    <w:link w:val="Heading2"/>
    <w:rsid w:val="00F7622E"/>
    <w:rPr>
      <w:rFonts w:asciiTheme="majorHAnsi" w:eastAsiaTheme="majorEastAsia" w:hAnsiTheme="majorHAnsi" w:cstheme="majorBidi"/>
      <w:color w:val="FFC000" w:themeColor="accent4"/>
      <w:kern w:val="0"/>
      <w:sz w:val="24"/>
      <w:szCs w:val="24"/>
      <w:lang w:val="en-GB" w:eastAsia="en-US"/>
      <w14:ligatures w14:val="none"/>
    </w:rPr>
  </w:style>
  <w:style w:type="character" w:customStyle="1" w:styleId="Heading3Char">
    <w:name w:val="Heading 3 Char"/>
    <w:aliases w:val="3 bullet Char,b Char"/>
    <w:basedOn w:val="DefaultParagraphFont"/>
    <w:link w:val="Heading3"/>
    <w:rsid w:val="00F7622E"/>
    <w:rPr>
      <w:rFonts w:eastAsiaTheme="minorHAnsi"/>
      <w:color w:val="FFC000" w:themeColor="accent4"/>
      <w:kern w:val="0"/>
      <w:sz w:val="24"/>
      <w:szCs w:val="24"/>
      <w:lang w:val="en-GB" w:eastAsia="en-US"/>
      <w14:ligatures w14:val="none"/>
    </w:rPr>
  </w:style>
  <w:style w:type="numbering" w:styleId="111111">
    <w:name w:val="Outline List 2"/>
    <w:basedOn w:val="NoList"/>
    <w:uiPriority w:val="99"/>
    <w:semiHidden/>
    <w:unhideWhenUsed/>
    <w:rsid w:val="00F7622E"/>
    <w:pPr>
      <w:numPr>
        <w:numId w:val="1"/>
      </w:numPr>
    </w:pPr>
  </w:style>
  <w:style w:type="paragraph" w:styleId="Header">
    <w:name w:val="header"/>
    <w:basedOn w:val="Normal"/>
    <w:link w:val="HeaderChar"/>
    <w:uiPriority w:val="99"/>
    <w:unhideWhenUsed/>
    <w:rsid w:val="00697850"/>
    <w:pPr>
      <w:tabs>
        <w:tab w:val="center" w:pos="4680"/>
        <w:tab w:val="right" w:pos="9360"/>
      </w:tabs>
    </w:pPr>
  </w:style>
  <w:style w:type="character" w:customStyle="1" w:styleId="HeaderChar">
    <w:name w:val="Header Char"/>
    <w:basedOn w:val="DefaultParagraphFont"/>
    <w:link w:val="Header"/>
    <w:uiPriority w:val="99"/>
    <w:rsid w:val="00697850"/>
    <w:rPr>
      <w:rFonts w:eastAsiaTheme="minorHAnsi"/>
      <w:kern w:val="0"/>
      <w:sz w:val="20"/>
      <w:szCs w:val="20"/>
      <w:lang w:val="en-GB" w:eastAsia="en-US"/>
      <w14:ligatures w14:val="none"/>
    </w:rPr>
  </w:style>
  <w:style w:type="paragraph" w:styleId="Footer">
    <w:name w:val="footer"/>
    <w:basedOn w:val="Normal"/>
    <w:link w:val="FooterChar"/>
    <w:uiPriority w:val="99"/>
    <w:unhideWhenUsed/>
    <w:rsid w:val="00697850"/>
    <w:pPr>
      <w:tabs>
        <w:tab w:val="center" w:pos="4680"/>
        <w:tab w:val="right" w:pos="9360"/>
      </w:tabs>
    </w:pPr>
  </w:style>
  <w:style w:type="character" w:customStyle="1" w:styleId="FooterChar">
    <w:name w:val="Footer Char"/>
    <w:basedOn w:val="DefaultParagraphFont"/>
    <w:link w:val="Footer"/>
    <w:uiPriority w:val="99"/>
    <w:rsid w:val="00697850"/>
    <w:rPr>
      <w:rFonts w:eastAsiaTheme="minorHAnsi"/>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1247</Characters>
  <Application>Microsoft Office Word</Application>
  <DocSecurity>0</DocSecurity>
  <Lines>10</Lines>
  <Paragraphs>2</Paragraphs>
  <ScaleCrop>false</ScaleCrop>
  <Company>NTT DATA Business Solutions AG</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Somalapuri, Naveen</dc:creator>
  <cp:keywords/>
  <dc:description/>
  <cp:lastModifiedBy>Somalapuri, Naveen</cp:lastModifiedBy>
  <cp:revision>7</cp:revision>
  <dcterms:created xsi:type="dcterms:W3CDTF">2024-11-20T03:01:00Z</dcterms:created>
  <dcterms:modified xsi:type="dcterms:W3CDTF">2024-11-27T02:11:00Z</dcterms:modified>
  <dc:identifier/>
  <dc:language/>
</cp:coreProperties>
</file>