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4C759">
      <w:pPr>
        <w:pStyle w:val="2"/>
      </w:pPr>
      <w:r>
        <w:t>Diageo PLC (DGE.L) — Equity Research Note</w:t>
      </w:r>
    </w:p>
    <w:p w14:paraId="01A31B8A">
      <w:r>
        <w:t>Oct 22, 2026 · Naveen Thota</w:t>
      </w:r>
    </w:p>
    <w:p w14:paraId="7FBC007F">
      <w:pPr>
        <w:pStyle w:val="3"/>
      </w:pPr>
      <w:r>
        <w:t>Recommendation</w:t>
      </w:r>
    </w:p>
    <w:p w14:paraId="0A63CAE8">
      <w:r>
        <w:rPr>
          <w:b/>
        </w:rPr>
        <w:t>HOLD / BUY on recovery</w:t>
      </w:r>
      <w:r>
        <w:t xml:space="preserve"> — target price £17.43 vs current £16.65, implying 4.7% upside over a 12–18 month horizon.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1665"/>
        <w:gridCol w:w="1750"/>
        <w:gridCol w:w="1024"/>
        <w:gridCol w:w="1803"/>
      </w:tblGrid>
      <w:tr w14:paraId="4479C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14" w:type="dxa"/>
            <w:shd w:val="clear" w:color="auto" w:fill="F2F2F2"/>
          </w:tcPr>
          <w:p w14:paraId="30697E01">
            <w:r>
              <w:t>Rating</w:t>
            </w:r>
          </w:p>
        </w:tc>
        <w:tc>
          <w:tcPr>
            <w:tcW w:w="1665" w:type="dxa"/>
            <w:shd w:val="clear" w:color="auto" w:fill="F2F2F2"/>
          </w:tcPr>
          <w:p w14:paraId="21992531">
            <w:r>
              <w:t>Target Price</w:t>
            </w:r>
          </w:p>
        </w:tc>
        <w:tc>
          <w:tcPr>
            <w:tcW w:w="1750" w:type="dxa"/>
            <w:shd w:val="clear" w:color="auto" w:fill="F2F2F2"/>
          </w:tcPr>
          <w:p w14:paraId="65A705F3">
            <w:r>
              <w:t>Current Price</w:t>
            </w:r>
          </w:p>
        </w:tc>
        <w:tc>
          <w:tcPr>
            <w:tcW w:w="1024" w:type="dxa"/>
            <w:shd w:val="clear" w:color="auto" w:fill="F2F2F2"/>
          </w:tcPr>
          <w:p w14:paraId="78C292BD">
            <w:r>
              <w:t>Upside</w:t>
            </w:r>
          </w:p>
        </w:tc>
        <w:tc>
          <w:tcPr>
            <w:tcW w:w="1803" w:type="dxa"/>
            <w:shd w:val="clear" w:color="auto" w:fill="F2F2F2"/>
          </w:tcPr>
          <w:p w14:paraId="098AC144">
            <w:r>
              <w:t>Horizon</w:t>
            </w:r>
          </w:p>
        </w:tc>
      </w:tr>
      <w:tr w14:paraId="3B6F5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 w14:paraId="6EA37896">
            <w:r>
              <w:t>HOLD / BUY on recovery</w:t>
            </w:r>
          </w:p>
        </w:tc>
        <w:tc>
          <w:tcPr>
            <w:tcW w:w="1665" w:type="dxa"/>
          </w:tcPr>
          <w:p w14:paraId="28B55E2B">
            <w:r>
              <w:t>£17.43</w:t>
            </w:r>
          </w:p>
        </w:tc>
        <w:tc>
          <w:tcPr>
            <w:tcW w:w="1750" w:type="dxa"/>
          </w:tcPr>
          <w:p w14:paraId="695B075A">
            <w:r>
              <w:t>£16.65</w:t>
            </w:r>
          </w:p>
        </w:tc>
        <w:tc>
          <w:tcPr>
            <w:tcW w:w="1024" w:type="dxa"/>
          </w:tcPr>
          <w:p w14:paraId="58AAFE3C">
            <w:r>
              <w:t>+4.7%</w:t>
            </w:r>
          </w:p>
        </w:tc>
        <w:tc>
          <w:tcPr>
            <w:tcW w:w="1803" w:type="dxa"/>
          </w:tcPr>
          <w:p w14:paraId="36D018AE">
            <w:r>
              <w:t>12–18 months</w:t>
            </w:r>
          </w:p>
        </w:tc>
      </w:tr>
    </w:tbl>
    <w:p w14:paraId="101C7E3F">
      <w:pPr>
        <w:pStyle w:val="3"/>
      </w:pPr>
      <w:r>
        <w:t>Company Snapshot</w:t>
      </w:r>
    </w:p>
    <w:p w14:paraId="0CCCE96F">
      <w:r>
        <w:t>Diageo plc is the world's largest premium spirits producer, with brands including Johnnie Walker, Guinness, Smirnoff, Tanqueray, and Captain Morgan. FY25 revenue of $20.2bn across 180+ countries, headquartered in London. Market cap £35.9bn / enterprise value $67.4bn. The company is currently mid-restructuring under its "Accelerate" cost programme, targeting ~$625m in savings over three years and $3bn+ free cash flow annually from FY26.</w:t>
      </w:r>
    </w:p>
    <w:p w14:paraId="761370B7">
      <w:pPr>
        <w:pStyle w:val="3"/>
      </w:pPr>
      <w:r>
        <w:t>Investment Thesis</w:t>
      </w:r>
    </w:p>
    <w:p w14:paraId="15122C0F">
      <w:pPr>
        <w:pStyle w:val="18"/>
        <w:numPr>
          <w:ilvl w:val="0"/>
          <w:numId w:val="1"/>
        </w:numPr>
      </w:pPr>
      <w:r>
        <w:rPr>
          <w:b/>
        </w:rPr>
        <w:t>Margin recovery is the central call.</w:t>
      </w:r>
      <w:r>
        <w:t xml:space="preserve"> FY25 EBIT margin collapsed to 21.4% (vs 29.6% FY24) due to Moët Hennessy impairments and tariff pressure. DCF assumes margins recover to 29.5% by FY30 as Accelerate delivers.</w:t>
      </w:r>
    </w:p>
    <w:p w14:paraId="67B45B02">
      <w:pPr>
        <w:pStyle w:val="18"/>
        <w:numPr>
          <w:ilvl w:val="0"/>
          <w:numId w:val="1"/>
        </w:numPr>
      </w:pPr>
      <w:r>
        <w:rPr>
          <w:b/>
        </w:rPr>
        <w:t>US and China weakness is cyclical, not structural.</w:t>
      </w:r>
      <w:r>
        <w:t xml:space="preserve"> H1 FY26 organic sales down 2.8% — comps ease materially in H2 FY26, with easier US spirits bases and lapping of China white spirits collapse.</w:t>
      </w:r>
    </w:p>
    <w:p w14:paraId="22464948">
      <w:pPr>
        <w:pStyle w:val="18"/>
        <w:numPr>
          <w:ilvl w:val="0"/>
          <w:numId w:val="1"/>
        </w:numPr>
      </w:pPr>
      <w:r>
        <w:rPr>
          <w:b/>
        </w:rPr>
        <w:t>Valuation support at trough.</w:t>
      </w:r>
      <w:r>
        <w:t xml:space="preserve"> Trading near 52-week lows (£16.65 vs 52w high £21.42). Dividend yield ~3%. Downside limited even in bearish WACC/growth scenarios (sensitivity shows worst case £14).</w:t>
      </w:r>
    </w:p>
    <w:p w14:paraId="3A80D897">
      <w:pPr>
        <w:pStyle w:val="3"/>
      </w:pPr>
      <w:r>
        <w:t>Key Risks</w:t>
      </w:r>
    </w:p>
    <w:p w14:paraId="0D23DF29">
      <w:pPr>
        <w:pStyle w:val="18"/>
        <w:numPr>
          <w:ilvl w:val="0"/>
          <w:numId w:val="2"/>
        </w:numPr>
      </w:pPr>
      <w:r>
        <w:rPr>
          <w:b/>
        </w:rPr>
        <w:t>GLP-1 drugs and premiumisation reversal</w:t>
      </w:r>
      <w:r>
        <w:t xml:space="preserve"> — structural demand destruction could compress long-term volumes beyond cyclical weakness.</w:t>
      </w:r>
    </w:p>
    <w:p w14:paraId="5C90EE4B">
      <w:pPr>
        <w:pStyle w:val="18"/>
        <w:numPr>
          <w:ilvl w:val="0"/>
          <w:numId w:val="2"/>
        </w:numPr>
      </w:pPr>
      <w:r>
        <w:rPr>
          <w:b/>
        </w:rPr>
        <w:t>Accelerate execution risk</w:t>
      </w:r>
      <w:r>
        <w:t xml:space="preserve"> — new CEO integration plus ambitious cost targets; historic consumer staples turnarounds often take longer than guided.</w:t>
      </w:r>
    </w:p>
    <w:p w14:paraId="1D209B7F">
      <w:pPr>
        <w:pStyle w:val="18"/>
        <w:numPr>
          <w:ilvl w:val="0"/>
          <w:numId w:val="2"/>
        </w:numPr>
      </w:pPr>
      <w:r>
        <w:rPr>
          <w:b/>
        </w:rPr>
        <w:t>Terminal value dominance</w:t>
      </w:r>
      <w:r>
        <w:t xml:space="preserve"> — Terminal Value = 81% of enterprise value. Small WACC or terminal growth changes materially shift the target price (sensitivity range £13–£30).</w:t>
      </w:r>
    </w:p>
    <w:p w14:paraId="4BD1ECC4">
      <w:pPr>
        <w:pStyle w:val="3"/>
      </w:pPr>
    </w:p>
    <w:p w14:paraId="2370527A">
      <w:pPr>
        <w:pStyle w:val="3"/>
      </w:pPr>
      <w:r>
        <w:t>Valuation Summary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7"/>
        <w:gridCol w:w="2423"/>
        <w:gridCol w:w="1158"/>
      </w:tblGrid>
      <w:tr w14:paraId="3EFAF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777" w:type="dxa"/>
            <w:shd w:val="clear" w:color="auto" w:fill="F2F2F2"/>
          </w:tcPr>
          <w:p w14:paraId="382D7709">
            <w:r>
              <w:t>Method</w:t>
            </w:r>
          </w:p>
        </w:tc>
        <w:tc>
          <w:tcPr>
            <w:tcW w:w="2423" w:type="dxa"/>
            <w:shd w:val="clear" w:color="auto" w:fill="F2F2F2"/>
          </w:tcPr>
          <w:p w14:paraId="311F93D4">
            <w:r>
              <w:t>Target Price (£)</w:t>
            </w:r>
          </w:p>
        </w:tc>
        <w:tc>
          <w:tcPr>
            <w:tcW w:w="1158" w:type="dxa"/>
            <w:shd w:val="clear" w:color="auto" w:fill="F2F2F2"/>
          </w:tcPr>
          <w:p w14:paraId="61C063CC">
            <w:r>
              <w:t>Weight</w:t>
            </w:r>
          </w:p>
        </w:tc>
      </w:tr>
      <w:tr w14:paraId="19EA8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77" w:type="dxa"/>
          </w:tcPr>
          <w:p w14:paraId="3B50D9A0">
            <w:r>
              <w:t>DCF (5-year explicit forecast + TV)</w:t>
            </w:r>
          </w:p>
        </w:tc>
        <w:tc>
          <w:tcPr>
            <w:tcW w:w="2423" w:type="dxa"/>
          </w:tcPr>
          <w:p w14:paraId="6D7EF049">
            <w:r>
              <w:t>£19.89</w:t>
            </w:r>
          </w:p>
        </w:tc>
        <w:tc>
          <w:tcPr>
            <w:tcW w:w="1158" w:type="dxa"/>
          </w:tcPr>
          <w:p w14:paraId="01B7AC44">
            <w:r>
              <w:t>50%</w:t>
            </w:r>
          </w:p>
        </w:tc>
      </w:tr>
      <w:tr w14:paraId="7C1FE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77" w:type="dxa"/>
          </w:tcPr>
          <w:p w14:paraId="78387265">
            <w:r>
              <w:t>Comps — EV/EBITDA (peer median 9.88x)</w:t>
            </w:r>
          </w:p>
        </w:tc>
        <w:tc>
          <w:tcPr>
            <w:tcW w:w="2423" w:type="dxa"/>
          </w:tcPr>
          <w:p w14:paraId="3BF087DE">
            <w:r>
              <w:t>£13.46</w:t>
            </w:r>
          </w:p>
        </w:tc>
        <w:tc>
          <w:tcPr>
            <w:tcW w:w="1158" w:type="dxa"/>
          </w:tcPr>
          <w:p w14:paraId="5868AE31">
            <w:r>
              <w:t>25%</w:t>
            </w:r>
          </w:p>
        </w:tc>
      </w:tr>
      <w:tr w14:paraId="7C152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77" w:type="dxa"/>
          </w:tcPr>
          <w:p w14:paraId="2F03CEBE">
            <w:r>
              <w:t>Comps — EV/Revenue (peer median 3.37x)</w:t>
            </w:r>
          </w:p>
        </w:tc>
        <w:tc>
          <w:tcPr>
            <w:tcW w:w="2423" w:type="dxa"/>
          </w:tcPr>
          <w:p w14:paraId="66E7ED31">
            <w:r>
              <w:t>£16.47</w:t>
            </w:r>
          </w:p>
        </w:tc>
        <w:tc>
          <w:tcPr>
            <w:tcW w:w="1158" w:type="dxa"/>
          </w:tcPr>
          <w:p w14:paraId="137FAA87">
            <w:r>
              <w:t>25%</w:t>
            </w:r>
          </w:p>
        </w:tc>
      </w:tr>
      <w:tr w14:paraId="3AC01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77" w:type="dxa"/>
          </w:tcPr>
          <w:p w14:paraId="380ED915">
            <w:r>
              <w:rPr>
                <w:b/>
              </w:rPr>
              <w:t>Blended Target</w:t>
            </w:r>
          </w:p>
        </w:tc>
        <w:tc>
          <w:tcPr>
            <w:tcW w:w="2423" w:type="dxa"/>
          </w:tcPr>
          <w:p w14:paraId="4DBE6765">
            <w:r>
              <w:rPr>
                <w:b/>
              </w:rPr>
              <w:t>£17.43</w:t>
            </w:r>
          </w:p>
        </w:tc>
        <w:tc>
          <w:tcPr>
            <w:tcW w:w="1158" w:type="dxa"/>
          </w:tcPr>
          <w:p w14:paraId="59D74C84">
            <w:r>
              <w:t>100%</w:t>
            </w:r>
          </w:p>
        </w:tc>
      </w:tr>
      <w:tr w14:paraId="698EB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77" w:type="dxa"/>
          </w:tcPr>
          <w:p w14:paraId="0071DBBD">
            <w:r>
              <w:t>Current share price</w:t>
            </w:r>
          </w:p>
        </w:tc>
        <w:tc>
          <w:tcPr>
            <w:tcW w:w="2423" w:type="dxa"/>
          </w:tcPr>
          <w:p w14:paraId="75AA7B2E">
            <w:r>
              <w:t>£16.65</w:t>
            </w:r>
          </w:p>
        </w:tc>
        <w:tc>
          <w:tcPr>
            <w:tcW w:w="1158" w:type="dxa"/>
          </w:tcPr>
          <w:p w14:paraId="7A1F61E3">
            <w:r>
              <w:t>—</w:t>
            </w:r>
          </w:p>
        </w:tc>
      </w:tr>
      <w:tr w14:paraId="2DBAB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77" w:type="dxa"/>
          </w:tcPr>
          <w:p w14:paraId="7F3A3522">
            <w:r>
              <w:rPr>
                <w:b/>
              </w:rPr>
              <w:t>Upside</w:t>
            </w:r>
          </w:p>
        </w:tc>
        <w:tc>
          <w:tcPr>
            <w:tcW w:w="2423" w:type="dxa"/>
          </w:tcPr>
          <w:p w14:paraId="2E81D44D">
            <w:r>
              <w:rPr>
                <w:b/>
              </w:rPr>
              <w:t>+4.7%</w:t>
            </w:r>
          </w:p>
        </w:tc>
        <w:tc>
          <w:tcPr>
            <w:tcW w:w="1158" w:type="dxa"/>
          </w:tcPr>
          <w:p w14:paraId="6838AD1F">
            <w:r>
              <w:t>—</w:t>
            </w:r>
          </w:p>
        </w:tc>
      </w:tr>
    </w:tbl>
    <w:p w14:paraId="1EE96D60">
      <w:r>
        <w:t>DCF (19% upside) and Comps (−10% to +1%) disagree. The 25% spread represents the market's doubt about Accelerate delivery. BUY if you believe management executes; HOLD if neutral.</w:t>
      </w:r>
    </w:p>
    <w:p w14:paraId="666CB24C">
      <w:pPr>
        <w:pStyle w:val="3"/>
      </w:pPr>
      <w:r>
        <w:t>Key DCF Assumptions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7"/>
        <w:gridCol w:w="2863"/>
        <w:gridCol w:w="4460"/>
      </w:tblGrid>
      <w:tr w14:paraId="05CA4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37" w:type="dxa"/>
            <w:shd w:val="clear" w:color="auto" w:fill="F2F2F2"/>
          </w:tcPr>
          <w:p w14:paraId="201601B0">
            <w:r>
              <w:t>Input</w:t>
            </w:r>
          </w:p>
        </w:tc>
        <w:tc>
          <w:tcPr>
            <w:tcW w:w="2863" w:type="dxa"/>
            <w:shd w:val="clear" w:color="auto" w:fill="F2F2F2"/>
          </w:tcPr>
          <w:p w14:paraId="7BF2E924">
            <w:r>
              <w:t>Value</w:t>
            </w:r>
          </w:p>
        </w:tc>
        <w:tc>
          <w:tcPr>
            <w:tcW w:w="4460" w:type="dxa"/>
            <w:shd w:val="clear" w:color="auto" w:fill="F2F2F2"/>
          </w:tcPr>
          <w:p w14:paraId="111C7BCD">
            <w:r>
              <w:t>Rationale</w:t>
            </w:r>
          </w:p>
        </w:tc>
      </w:tr>
      <w:tr w14:paraId="727E8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7" w:type="dxa"/>
          </w:tcPr>
          <w:p w14:paraId="33EDD37A">
            <w:r>
              <w:t>WACC</w:t>
            </w:r>
          </w:p>
        </w:tc>
        <w:tc>
          <w:tcPr>
            <w:tcW w:w="2863" w:type="dxa"/>
          </w:tcPr>
          <w:p w14:paraId="4C96C96F">
            <w:r>
              <w:t>7.26%</w:t>
            </w:r>
          </w:p>
        </w:tc>
        <w:tc>
          <w:tcPr>
            <w:tcW w:w="4460" w:type="dxa"/>
          </w:tcPr>
          <w:p w14:paraId="6EA68D95">
            <w:r>
              <w:t>Rf 4.5% + 0.8β × 5.5% ERP; 67.5/32.5 equity/debt weighting</w:t>
            </w:r>
          </w:p>
        </w:tc>
      </w:tr>
      <w:tr w14:paraId="3F10B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7" w:type="dxa"/>
          </w:tcPr>
          <w:p w14:paraId="79017BB3">
            <w:r>
              <w:t>Terminal growth</w:t>
            </w:r>
          </w:p>
        </w:tc>
        <w:tc>
          <w:tcPr>
            <w:tcW w:w="2863" w:type="dxa"/>
          </w:tcPr>
          <w:p w14:paraId="3F517C24">
            <w:r>
              <w:t>2.25%</w:t>
            </w:r>
          </w:p>
        </w:tc>
        <w:tc>
          <w:tcPr>
            <w:tcW w:w="4460" w:type="dxa"/>
          </w:tcPr>
          <w:p w14:paraId="4BF3720E">
            <w:r>
              <w:t>Below UK long-run GDP; mature spirits market</w:t>
            </w:r>
          </w:p>
        </w:tc>
      </w:tr>
      <w:tr w14:paraId="35E89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7" w:type="dxa"/>
          </w:tcPr>
          <w:p w14:paraId="0A4D40AA">
            <w:r>
              <w:t>Revenue growth FY26</w:t>
            </w:r>
          </w:p>
        </w:tc>
        <w:tc>
          <w:tcPr>
            <w:tcW w:w="2863" w:type="dxa"/>
          </w:tcPr>
          <w:p w14:paraId="7424E25A">
            <w:r>
              <w:t>−1%</w:t>
            </w:r>
          </w:p>
        </w:tc>
        <w:tc>
          <w:tcPr>
            <w:tcW w:w="4460" w:type="dxa"/>
          </w:tcPr>
          <w:p w14:paraId="3CFB67A3">
            <w:r>
              <w:t>H1 FY26 already −2.8% organic; modest H2 recovery</w:t>
            </w:r>
          </w:p>
        </w:tc>
      </w:tr>
      <w:tr w14:paraId="0B83C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7" w:type="dxa"/>
          </w:tcPr>
          <w:p w14:paraId="090CD3A9">
            <w:r>
              <w:t>Revenue growth FY27–FY30</w:t>
            </w:r>
          </w:p>
        </w:tc>
        <w:tc>
          <w:tcPr>
            <w:tcW w:w="2863" w:type="dxa"/>
          </w:tcPr>
          <w:p w14:paraId="69CBC978">
            <w:r>
              <w:t>2% → 4% → 4% → 3.5%</w:t>
            </w:r>
          </w:p>
        </w:tc>
        <w:tc>
          <w:tcPr>
            <w:tcW w:w="4460" w:type="dxa"/>
          </w:tcPr>
          <w:p w14:paraId="01F5A749">
            <w:r>
              <w:t>Accelerate + sector normalisation</w:t>
            </w:r>
          </w:p>
        </w:tc>
      </w:tr>
      <w:tr w14:paraId="59D70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7" w:type="dxa"/>
          </w:tcPr>
          <w:p w14:paraId="409277E2">
            <w:r>
              <w:t>EBIT margin FY26 → FY30</w:t>
            </w:r>
          </w:p>
        </w:tc>
        <w:tc>
          <w:tcPr>
            <w:tcW w:w="2863" w:type="dxa"/>
          </w:tcPr>
          <w:p w14:paraId="3F17B5A2">
            <w:r>
              <w:t>22% → 29.5%</w:t>
            </w:r>
          </w:p>
        </w:tc>
        <w:tc>
          <w:tcPr>
            <w:tcW w:w="4460" w:type="dxa"/>
          </w:tcPr>
          <w:p w14:paraId="371F2F5C">
            <w:r>
              <w:t>Accelerate savings offset by reinvestment</w:t>
            </w:r>
          </w:p>
        </w:tc>
      </w:tr>
      <w:tr w14:paraId="79548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7" w:type="dxa"/>
          </w:tcPr>
          <w:p w14:paraId="613C1538">
            <w:r>
              <w:t>Capex % of revenue</w:t>
            </w:r>
          </w:p>
        </w:tc>
        <w:tc>
          <w:tcPr>
            <w:tcW w:w="2863" w:type="dxa"/>
          </w:tcPr>
          <w:p w14:paraId="0161AC3D">
            <w:r>
              <w:t>7%</w:t>
            </w:r>
          </w:p>
        </w:tc>
        <w:tc>
          <w:tcPr>
            <w:tcW w:w="4460" w:type="dxa"/>
          </w:tcPr>
          <w:p w14:paraId="330BAA0E">
            <w:r>
              <w:t>5-year average, elevated for aging whisky stocks</w:t>
            </w:r>
          </w:p>
        </w:tc>
      </w:tr>
      <w:tr w14:paraId="6B6A7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7" w:type="dxa"/>
          </w:tcPr>
          <w:p w14:paraId="694FB2DC">
            <w:r>
              <w:t>Effective tax rate</w:t>
            </w:r>
          </w:p>
        </w:tc>
        <w:tc>
          <w:tcPr>
            <w:tcW w:w="2863" w:type="dxa"/>
          </w:tcPr>
          <w:p w14:paraId="669EEFF3">
            <w:r>
              <w:t>23%</w:t>
            </w:r>
          </w:p>
        </w:tc>
        <w:tc>
          <w:tcPr>
            <w:tcW w:w="4460" w:type="dxa"/>
          </w:tcPr>
          <w:p w14:paraId="71D23F40">
            <w:r>
              <w:t>UK 25% blended with international mix</w:t>
            </w:r>
          </w:p>
        </w:tc>
      </w:tr>
    </w:tbl>
    <w:p w14:paraId="2E8E6EC8">
      <w:pPr>
        <w:pStyle w:val="3"/>
      </w:pPr>
    </w:p>
    <w:p w14:paraId="647BE543">
      <w:pPr>
        <w:pStyle w:val="3"/>
      </w:pPr>
      <w:r>
        <w:t>FCF Forecast (USD millions)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8"/>
        <w:gridCol w:w="1476"/>
        <w:gridCol w:w="1476"/>
        <w:gridCol w:w="1476"/>
        <w:gridCol w:w="1476"/>
        <w:gridCol w:w="1476"/>
      </w:tblGrid>
      <w:tr w14:paraId="07E28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78" w:type="dxa"/>
            <w:shd w:val="clear" w:color="auto" w:fill="F2F2F2"/>
          </w:tcPr>
          <w:p w14:paraId="44DCC1A5"/>
          <w:p w14:paraId="72EB6466">
            <w:r>
              <w:t>Line item</w:t>
            </w:r>
          </w:p>
        </w:tc>
        <w:tc>
          <w:tcPr>
            <w:tcW w:w="1476" w:type="dxa"/>
            <w:shd w:val="clear" w:color="auto" w:fill="F2F2F2"/>
          </w:tcPr>
          <w:p w14:paraId="2193549E">
            <w:r>
              <w:t>FY26</w:t>
            </w:r>
          </w:p>
        </w:tc>
        <w:tc>
          <w:tcPr>
            <w:tcW w:w="1476" w:type="dxa"/>
            <w:shd w:val="clear" w:color="auto" w:fill="F2F2F2"/>
          </w:tcPr>
          <w:p w14:paraId="559BA5FE">
            <w:r>
              <w:t>FY27</w:t>
            </w:r>
          </w:p>
        </w:tc>
        <w:tc>
          <w:tcPr>
            <w:tcW w:w="1476" w:type="dxa"/>
            <w:shd w:val="clear" w:color="auto" w:fill="F2F2F2"/>
          </w:tcPr>
          <w:p w14:paraId="29F77BCA">
            <w:r>
              <w:t>FY28</w:t>
            </w:r>
          </w:p>
        </w:tc>
        <w:tc>
          <w:tcPr>
            <w:tcW w:w="1476" w:type="dxa"/>
            <w:shd w:val="clear" w:color="auto" w:fill="F2F2F2"/>
          </w:tcPr>
          <w:p w14:paraId="1D7F914B">
            <w:r>
              <w:t>FY29</w:t>
            </w:r>
          </w:p>
        </w:tc>
        <w:tc>
          <w:tcPr>
            <w:tcW w:w="1476" w:type="dxa"/>
            <w:shd w:val="clear" w:color="auto" w:fill="F2F2F2"/>
          </w:tcPr>
          <w:p w14:paraId="4E5FDCC5">
            <w:r>
              <w:t>FY30</w:t>
            </w:r>
          </w:p>
        </w:tc>
      </w:tr>
      <w:tr w14:paraId="3A335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8" w:type="dxa"/>
          </w:tcPr>
          <w:p w14:paraId="6351323F">
            <w:r>
              <w:t>Revenue</w:t>
            </w:r>
          </w:p>
        </w:tc>
        <w:tc>
          <w:tcPr>
            <w:tcW w:w="1476" w:type="dxa"/>
          </w:tcPr>
          <w:p w14:paraId="0FB300BA">
            <w:r>
              <w:t>20,043</w:t>
            </w:r>
          </w:p>
        </w:tc>
        <w:tc>
          <w:tcPr>
            <w:tcW w:w="1476" w:type="dxa"/>
          </w:tcPr>
          <w:p w14:paraId="274DEF68">
            <w:r>
              <w:t>20,443</w:t>
            </w:r>
          </w:p>
        </w:tc>
        <w:tc>
          <w:tcPr>
            <w:tcW w:w="1476" w:type="dxa"/>
          </w:tcPr>
          <w:p w14:paraId="79D92383">
            <w:r>
              <w:t>21,261</w:t>
            </w:r>
          </w:p>
        </w:tc>
        <w:tc>
          <w:tcPr>
            <w:tcW w:w="1476" w:type="dxa"/>
          </w:tcPr>
          <w:p w14:paraId="301545F9">
            <w:r>
              <w:t>22,112</w:t>
            </w:r>
          </w:p>
        </w:tc>
        <w:tc>
          <w:tcPr>
            <w:tcW w:w="1476" w:type="dxa"/>
          </w:tcPr>
          <w:p w14:paraId="0CF1581F">
            <w:r>
              <w:t>22,885</w:t>
            </w:r>
          </w:p>
        </w:tc>
      </w:tr>
      <w:tr w14:paraId="005D5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8" w:type="dxa"/>
          </w:tcPr>
          <w:p w14:paraId="160D3733">
            <w:r>
              <w:t>EBIT</w:t>
            </w:r>
          </w:p>
        </w:tc>
        <w:tc>
          <w:tcPr>
            <w:tcW w:w="1476" w:type="dxa"/>
          </w:tcPr>
          <w:p w14:paraId="22F46D68">
            <w:r>
              <w:t>4,409</w:t>
            </w:r>
          </w:p>
        </w:tc>
        <w:tc>
          <w:tcPr>
            <w:tcW w:w="1476" w:type="dxa"/>
          </w:tcPr>
          <w:p w14:paraId="0421D895">
            <w:r>
              <w:t>5,111</w:t>
            </w:r>
          </w:p>
        </w:tc>
        <w:tc>
          <w:tcPr>
            <w:tcW w:w="1476" w:type="dxa"/>
          </w:tcPr>
          <w:p w14:paraId="6A5D15BE">
            <w:r>
              <w:t>5,847</w:t>
            </w:r>
          </w:p>
        </w:tc>
        <w:tc>
          <w:tcPr>
            <w:tcW w:w="1476" w:type="dxa"/>
          </w:tcPr>
          <w:p w14:paraId="6ABA03E4">
            <w:r>
              <w:t>6,412</w:t>
            </w:r>
          </w:p>
        </w:tc>
        <w:tc>
          <w:tcPr>
            <w:tcW w:w="1476" w:type="dxa"/>
          </w:tcPr>
          <w:p w14:paraId="07DA6E22">
            <w:r>
              <w:t>6,751</w:t>
            </w:r>
          </w:p>
        </w:tc>
      </w:tr>
      <w:tr w14:paraId="1EC51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8" w:type="dxa"/>
          </w:tcPr>
          <w:p w14:paraId="3D844421">
            <w:r>
              <w:t>NOPAT</w:t>
            </w:r>
          </w:p>
        </w:tc>
        <w:tc>
          <w:tcPr>
            <w:tcW w:w="1476" w:type="dxa"/>
          </w:tcPr>
          <w:p w14:paraId="10FCB956">
            <w:r>
              <w:t>3,395</w:t>
            </w:r>
          </w:p>
        </w:tc>
        <w:tc>
          <w:tcPr>
            <w:tcW w:w="1476" w:type="dxa"/>
          </w:tcPr>
          <w:p w14:paraId="6A30E240">
            <w:r>
              <w:t>3,935</w:t>
            </w:r>
          </w:p>
        </w:tc>
        <w:tc>
          <w:tcPr>
            <w:tcW w:w="1476" w:type="dxa"/>
          </w:tcPr>
          <w:p w14:paraId="4E257FE5">
            <w:r>
              <w:t>4,502</w:t>
            </w:r>
          </w:p>
        </w:tc>
        <w:tc>
          <w:tcPr>
            <w:tcW w:w="1476" w:type="dxa"/>
          </w:tcPr>
          <w:p w14:paraId="0F76564D">
            <w:r>
              <w:t>4,938</w:t>
            </w:r>
          </w:p>
        </w:tc>
        <w:tc>
          <w:tcPr>
            <w:tcW w:w="1476" w:type="dxa"/>
          </w:tcPr>
          <w:p w14:paraId="6D5F7B66">
            <w:r>
              <w:t>5,198</w:t>
            </w:r>
          </w:p>
        </w:tc>
      </w:tr>
      <w:tr w14:paraId="7295E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8" w:type="dxa"/>
          </w:tcPr>
          <w:p w14:paraId="755325D5">
            <w:r>
              <w:t>D&amp;A</w:t>
            </w:r>
          </w:p>
        </w:tc>
        <w:tc>
          <w:tcPr>
            <w:tcW w:w="1476" w:type="dxa"/>
          </w:tcPr>
          <w:p w14:paraId="0DF3BD3C">
            <w:r>
              <w:t>902</w:t>
            </w:r>
          </w:p>
        </w:tc>
        <w:tc>
          <w:tcPr>
            <w:tcW w:w="1476" w:type="dxa"/>
          </w:tcPr>
          <w:p w14:paraId="108DF035">
            <w:r>
              <w:t>920</w:t>
            </w:r>
          </w:p>
        </w:tc>
        <w:tc>
          <w:tcPr>
            <w:tcW w:w="1476" w:type="dxa"/>
          </w:tcPr>
          <w:p w14:paraId="6213FE3C">
            <w:r>
              <w:t>957</w:t>
            </w:r>
          </w:p>
        </w:tc>
        <w:tc>
          <w:tcPr>
            <w:tcW w:w="1476" w:type="dxa"/>
          </w:tcPr>
          <w:p w14:paraId="3357DBCE">
            <w:r>
              <w:t>995</w:t>
            </w:r>
          </w:p>
        </w:tc>
        <w:tc>
          <w:tcPr>
            <w:tcW w:w="1476" w:type="dxa"/>
          </w:tcPr>
          <w:p w14:paraId="5636B6DB">
            <w:r>
              <w:t>1,030</w:t>
            </w:r>
          </w:p>
        </w:tc>
      </w:tr>
      <w:tr w14:paraId="2C7AC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8" w:type="dxa"/>
          </w:tcPr>
          <w:p w14:paraId="54D52585">
            <w:r>
              <w:t>Capex</w:t>
            </w:r>
          </w:p>
        </w:tc>
        <w:tc>
          <w:tcPr>
            <w:tcW w:w="1476" w:type="dxa"/>
          </w:tcPr>
          <w:p w14:paraId="1A257EE9">
            <w:r>
              <w:t>(1,403)</w:t>
            </w:r>
          </w:p>
        </w:tc>
        <w:tc>
          <w:tcPr>
            <w:tcW w:w="1476" w:type="dxa"/>
          </w:tcPr>
          <w:p w14:paraId="50D2AFEC">
            <w:r>
              <w:t>(1,431)</w:t>
            </w:r>
          </w:p>
        </w:tc>
        <w:tc>
          <w:tcPr>
            <w:tcW w:w="1476" w:type="dxa"/>
          </w:tcPr>
          <w:p w14:paraId="68DCF8A9">
            <w:r>
              <w:t>(1,488)</w:t>
            </w:r>
          </w:p>
        </w:tc>
        <w:tc>
          <w:tcPr>
            <w:tcW w:w="1476" w:type="dxa"/>
          </w:tcPr>
          <w:p w14:paraId="57A8C862">
            <w:r>
              <w:t>(1,548)</w:t>
            </w:r>
          </w:p>
        </w:tc>
        <w:tc>
          <w:tcPr>
            <w:tcW w:w="1476" w:type="dxa"/>
          </w:tcPr>
          <w:p w14:paraId="6A886F28">
            <w:r>
              <w:t>(1,602)</w:t>
            </w:r>
          </w:p>
        </w:tc>
      </w:tr>
      <w:tr w14:paraId="7E412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8" w:type="dxa"/>
          </w:tcPr>
          <w:p w14:paraId="11629F84">
            <w:r>
              <w:t>ΔWC</w:t>
            </w:r>
          </w:p>
        </w:tc>
        <w:tc>
          <w:tcPr>
            <w:tcW w:w="1476" w:type="dxa"/>
          </w:tcPr>
          <w:p w14:paraId="43B6575F">
            <w:r>
              <w:t>(200)</w:t>
            </w:r>
          </w:p>
        </w:tc>
        <w:tc>
          <w:tcPr>
            <w:tcW w:w="1476" w:type="dxa"/>
          </w:tcPr>
          <w:p w14:paraId="25EC122C">
            <w:r>
              <w:t>(204)</w:t>
            </w:r>
          </w:p>
        </w:tc>
        <w:tc>
          <w:tcPr>
            <w:tcW w:w="1476" w:type="dxa"/>
          </w:tcPr>
          <w:p w14:paraId="6EE27728">
            <w:r>
              <w:t>(213)</w:t>
            </w:r>
          </w:p>
        </w:tc>
        <w:tc>
          <w:tcPr>
            <w:tcW w:w="1476" w:type="dxa"/>
          </w:tcPr>
          <w:p w14:paraId="27183DDF">
            <w:r>
              <w:t>(221)</w:t>
            </w:r>
          </w:p>
        </w:tc>
        <w:tc>
          <w:tcPr>
            <w:tcW w:w="1476" w:type="dxa"/>
          </w:tcPr>
          <w:p w14:paraId="05C38A96">
            <w:r>
              <w:t>(229)</w:t>
            </w:r>
          </w:p>
        </w:tc>
      </w:tr>
      <w:tr w14:paraId="4BCD2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8" w:type="dxa"/>
          </w:tcPr>
          <w:p w14:paraId="3E79E0EE">
            <w:r>
              <w:rPr>
                <w:b/>
              </w:rPr>
              <w:t>FCF</w:t>
            </w:r>
          </w:p>
        </w:tc>
        <w:tc>
          <w:tcPr>
            <w:tcW w:w="1476" w:type="dxa"/>
          </w:tcPr>
          <w:p w14:paraId="37CAD2F6">
            <w:r>
              <w:rPr>
                <w:b/>
              </w:rPr>
              <w:t>2,694</w:t>
            </w:r>
          </w:p>
        </w:tc>
        <w:tc>
          <w:tcPr>
            <w:tcW w:w="1476" w:type="dxa"/>
          </w:tcPr>
          <w:p w14:paraId="247814BC">
            <w:r>
              <w:rPr>
                <w:b/>
              </w:rPr>
              <w:t>3,220</w:t>
            </w:r>
          </w:p>
        </w:tc>
        <w:tc>
          <w:tcPr>
            <w:tcW w:w="1476" w:type="dxa"/>
          </w:tcPr>
          <w:p w14:paraId="3D35C380">
            <w:r>
              <w:rPr>
                <w:b/>
              </w:rPr>
              <w:t>3,758</w:t>
            </w:r>
          </w:p>
        </w:tc>
        <w:tc>
          <w:tcPr>
            <w:tcW w:w="1476" w:type="dxa"/>
          </w:tcPr>
          <w:p w14:paraId="2AD99F57">
            <w:r>
              <w:rPr>
                <w:b/>
              </w:rPr>
              <w:t>4,164</w:t>
            </w:r>
          </w:p>
        </w:tc>
        <w:tc>
          <w:tcPr>
            <w:tcW w:w="1476" w:type="dxa"/>
          </w:tcPr>
          <w:p w14:paraId="75DB7201">
            <w:r>
              <w:rPr>
                <w:b/>
              </w:rPr>
              <w:t>4,397</w:t>
            </w:r>
          </w:p>
        </w:tc>
      </w:tr>
    </w:tbl>
    <w:p w14:paraId="1A6FF07E">
      <w:r>
        <w:t>FCF growth from $2.7bn to $4.4bn over five years is driven primarily by EBIT margin recovery from 22% to 29.5%.</w:t>
      </w:r>
    </w:p>
    <w:p w14:paraId="54134BB3">
      <w:pPr>
        <w:pStyle w:val="3"/>
      </w:pPr>
      <w:r>
        <w:t>Sensitivity Analysis — Target Price (£)</w:t>
      </w:r>
    </w:p>
    <w:p w14:paraId="15292BA9">
      <w:r>
        <w:t>Target share price under combinations of WACC (across) and terminal growth rate (down). Base case £19.89 at WACC 7.26% / g 2.25%.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3"/>
        <w:gridCol w:w="1183"/>
        <w:gridCol w:w="1183"/>
        <w:gridCol w:w="1183"/>
        <w:gridCol w:w="1183"/>
        <w:gridCol w:w="1183"/>
      </w:tblGrid>
      <w:tr w14:paraId="20088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443" w:type="dxa"/>
            <w:shd w:val="clear" w:color="auto" w:fill="F2F2F2"/>
          </w:tcPr>
          <w:p w14:paraId="18C3B20F">
            <w:r>
              <w:t>Terminal g ↓ \ WACC →</w:t>
            </w:r>
          </w:p>
        </w:tc>
        <w:tc>
          <w:tcPr>
            <w:tcW w:w="1183" w:type="dxa"/>
            <w:shd w:val="clear" w:color="auto" w:fill="F2F2F2"/>
          </w:tcPr>
          <w:p w14:paraId="48D93B9A">
            <w:r>
              <w:t>6.25%</w:t>
            </w:r>
          </w:p>
        </w:tc>
        <w:tc>
          <w:tcPr>
            <w:tcW w:w="1183" w:type="dxa"/>
            <w:shd w:val="clear" w:color="auto" w:fill="F2F2F2"/>
          </w:tcPr>
          <w:p w14:paraId="61AAF828">
            <w:r>
              <w:t>6.75%</w:t>
            </w:r>
          </w:p>
        </w:tc>
        <w:tc>
          <w:tcPr>
            <w:tcW w:w="1183" w:type="dxa"/>
            <w:shd w:val="clear" w:color="auto" w:fill="F2F2F2"/>
          </w:tcPr>
          <w:p w14:paraId="70E94165">
            <w:r>
              <w:t>7.26%</w:t>
            </w:r>
          </w:p>
        </w:tc>
        <w:tc>
          <w:tcPr>
            <w:tcW w:w="1183" w:type="dxa"/>
            <w:shd w:val="clear" w:color="auto" w:fill="F2F2F2"/>
          </w:tcPr>
          <w:p w14:paraId="38A16D5C">
            <w:r>
              <w:t>7.75%</w:t>
            </w:r>
          </w:p>
        </w:tc>
        <w:tc>
          <w:tcPr>
            <w:tcW w:w="1183" w:type="dxa"/>
            <w:shd w:val="clear" w:color="auto" w:fill="F2F2F2"/>
          </w:tcPr>
          <w:p w14:paraId="20F63AD7">
            <w:r>
              <w:t>8.25%</w:t>
            </w:r>
          </w:p>
        </w:tc>
      </w:tr>
      <w:tr w14:paraId="2DB8B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43" w:type="dxa"/>
          </w:tcPr>
          <w:p w14:paraId="12232479">
            <w:r>
              <w:t>1.75%</w:t>
            </w:r>
          </w:p>
        </w:tc>
        <w:tc>
          <w:tcPr>
            <w:tcW w:w="1183" w:type="dxa"/>
          </w:tcPr>
          <w:p w14:paraId="512C2A01">
            <w:r>
              <w:t>£22.80</w:t>
            </w:r>
          </w:p>
        </w:tc>
        <w:tc>
          <w:tcPr>
            <w:tcW w:w="1183" w:type="dxa"/>
          </w:tcPr>
          <w:p w14:paraId="11C8CDB8">
            <w:r>
              <w:t>£20.00</w:t>
            </w:r>
          </w:p>
        </w:tc>
        <w:tc>
          <w:tcPr>
            <w:tcW w:w="1183" w:type="dxa"/>
          </w:tcPr>
          <w:p w14:paraId="0F6EA25A">
            <w:r>
              <w:t>£17.60</w:t>
            </w:r>
          </w:p>
        </w:tc>
        <w:tc>
          <w:tcPr>
            <w:tcW w:w="1183" w:type="dxa"/>
          </w:tcPr>
          <w:p w14:paraId="4C5CBC6A">
            <w:r>
              <w:t>£15.70</w:t>
            </w:r>
          </w:p>
        </w:tc>
        <w:tc>
          <w:tcPr>
            <w:tcW w:w="1183" w:type="dxa"/>
          </w:tcPr>
          <w:p w14:paraId="42B769DB">
            <w:r>
              <w:t>£14.00</w:t>
            </w:r>
          </w:p>
        </w:tc>
      </w:tr>
      <w:tr w14:paraId="41E68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43" w:type="dxa"/>
          </w:tcPr>
          <w:p w14:paraId="47B60526">
            <w:r>
              <w:t>2.00%</w:t>
            </w:r>
          </w:p>
        </w:tc>
        <w:tc>
          <w:tcPr>
            <w:tcW w:w="1183" w:type="dxa"/>
          </w:tcPr>
          <w:p w14:paraId="12FB575A">
            <w:r>
              <w:t>£24.20</w:t>
            </w:r>
          </w:p>
        </w:tc>
        <w:tc>
          <w:tcPr>
            <w:tcW w:w="1183" w:type="dxa"/>
          </w:tcPr>
          <w:p w14:paraId="36BBFE3F">
            <w:r>
              <w:t>£21.10</w:t>
            </w:r>
          </w:p>
        </w:tc>
        <w:tc>
          <w:tcPr>
            <w:tcW w:w="1183" w:type="dxa"/>
          </w:tcPr>
          <w:p w14:paraId="0D9D5E69">
            <w:r>
              <w:t>£18.50</w:t>
            </w:r>
          </w:p>
        </w:tc>
        <w:tc>
          <w:tcPr>
            <w:tcW w:w="1183" w:type="dxa"/>
          </w:tcPr>
          <w:p w14:paraId="3CD04EA6">
            <w:r>
              <w:t>£16.40</w:t>
            </w:r>
          </w:p>
        </w:tc>
        <w:tc>
          <w:tcPr>
            <w:tcW w:w="1183" w:type="dxa"/>
          </w:tcPr>
          <w:p w14:paraId="1A8F931E">
            <w:r>
              <w:t>£14.60</w:t>
            </w:r>
          </w:p>
        </w:tc>
      </w:tr>
      <w:tr w14:paraId="46F06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43" w:type="dxa"/>
          </w:tcPr>
          <w:p w14:paraId="1BC9DDC8">
            <w:r>
              <w:t>2.25%</w:t>
            </w:r>
          </w:p>
        </w:tc>
        <w:tc>
          <w:tcPr>
            <w:tcW w:w="1183" w:type="dxa"/>
          </w:tcPr>
          <w:p w14:paraId="59188E16">
            <w:r>
              <w:t>£25.80</w:t>
            </w:r>
          </w:p>
        </w:tc>
        <w:tc>
          <w:tcPr>
            <w:tcW w:w="1183" w:type="dxa"/>
          </w:tcPr>
          <w:p w14:paraId="2DBBC1FD">
            <w:r>
              <w:t>£22.30</w:t>
            </w:r>
          </w:p>
        </w:tc>
        <w:tc>
          <w:tcPr>
            <w:tcW w:w="1183" w:type="dxa"/>
          </w:tcPr>
          <w:p w14:paraId="5AE75435">
            <w:r>
              <w:rPr>
                <w:b/>
              </w:rPr>
              <w:t>£19.89</w:t>
            </w:r>
          </w:p>
        </w:tc>
        <w:tc>
          <w:tcPr>
            <w:tcW w:w="1183" w:type="dxa"/>
          </w:tcPr>
          <w:p w14:paraId="265D1E63">
            <w:r>
              <w:t>£17.20</w:t>
            </w:r>
          </w:p>
        </w:tc>
        <w:tc>
          <w:tcPr>
            <w:tcW w:w="1183" w:type="dxa"/>
          </w:tcPr>
          <w:p w14:paraId="2F5FC1C6">
            <w:r>
              <w:t>£15.30</w:t>
            </w:r>
          </w:p>
        </w:tc>
      </w:tr>
      <w:tr w14:paraId="588A6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43" w:type="dxa"/>
          </w:tcPr>
          <w:p w14:paraId="2BD0A784">
            <w:r>
              <w:t>2.50%</w:t>
            </w:r>
          </w:p>
        </w:tc>
        <w:tc>
          <w:tcPr>
            <w:tcW w:w="1183" w:type="dxa"/>
          </w:tcPr>
          <w:p w14:paraId="5175592B">
            <w:r>
              <w:t>£27.60</w:t>
            </w:r>
          </w:p>
        </w:tc>
        <w:tc>
          <w:tcPr>
            <w:tcW w:w="1183" w:type="dxa"/>
          </w:tcPr>
          <w:p w14:paraId="1B37BB10">
            <w:r>
              <w:t>£23.70</w:t>
            </w:r>
          </w:p>
        </w:tc>
        <w:tc>
          <w:tcPr>
            <w:tcW w:w="1183" w:type="dxa"/>
          </w:tcPr>
          <w:p w14:paraId="3C570E75">
            <w:r>
              <w:t>£20.90</w:t>
            </w:r>
          </w:p>
        </w:tc>
        <w:tc>
          <w:tcPr>
            <w:tcW w:w="1183" w:type="dxa"/>
          </w:tcPr>
          <w:p w14:paraId="04070525">
            <w:r>
              <w:t>£18.10</w:t>
            </w:r>
          </w:p>
        </w:tc>
        <w:tc>
          <w:tcPr>
            <w:tcW w:w="1183" w:type="dxa"/>
          </w:tcPr>
          <w:p w14:paraId="38EFBBB3">
            <w:r>
              <w:t>£16.00</w:t>
            </w:r>
          </w:p>
        </w:tc>
      </w:tr>
      <w:tr w14:paraId="0D0B6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43" w:type="dxa"/>
          </w:tcPr>
          <w:p w14:paraId="33B8ED96">
            <w:r>
              <w:t>2.75%</w:t>
            </w:r>
          </w:p>
        </w:tc>
        <w:tc>
          <w:tcPr>
            <w:tcW w:w="1183" w:type="dxa"/>
          </w:tcPr>
          <w:p w14:paraId="15E0EA78">
            <w:r>
              <w:t>£29.70</w:t>
            </w:r>
          </w:p>
        </w:tc>
        <w:tc>
          <w:tcPr>
            <w:tcW w:w="1183" w:type="dxa"/>
          </w:tcPr>
          <w:p w14:paraId="065FDD54">
            <w:r>
              <w:t>£25.30</w:t>
            </w:r>
          </w:p>
        </w:tc>
        <w:tc>
          <w:tcPr>
            <w:tcW w:w="1183" w:type="dxa"/>
          </w:tcPr>
          <w:p w14:paraId="55BEBDF6">
            <w:r>
              <w:t>£22.00</w:t>
            </w:r>
          </w:p>
        </w:tc>
        <w:tc>
          <w:tcPr>
            <w:tcW w:w="1183" w:type="dxa"/>
          </w:tcPr>
          <w:p w14:paraId="06C50A33">
            <w:r>
              <w:t>£19.00</w:t>
            </w:r>
          </w:p>
        </w:tc>
        <w:tc>
          <w:tcPr>
            <w:tcW w:w="1183" w:type="dxa"/>
          </w:tcPr>
          <w:p w14:paraId="6FC305EC">
            <w:r>
              <w:t>£16.80</w:t>
            </w:r>
          </w:p>
        </w:tc>
      </w:tr>
    </w:tbl>
    <w:p w14:paraId="2E9721A2">
      <w:r>
        <w:t>Downside limited to £14 even at pessimistic WACC 8.25% / g 1.75%; upside caps at £30 in a bull-case WACC 6.25% / g 2.75%.</w:t>
      </w:r>
    </w:p>
    <w:p w14:paraId="5706E0C8">
      <w:pPr>
        <w:pStyle w:val="3"/>
      </w:pPr>
    </w:p>
    <w:p w14:paraId="67BA6D3A">
      <w:pPr>
        <w:pStyle w:val="3"/>
      </w:pPr>
      <w:r>
        <w:t>Comparable Companies Analysis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931"/>
        <w:gridCol w:w="1145"/>
        <w:gridCol w:w="1107"/>
        <w:gridCol w:w="1102"/>
        <w:gridCol w:w="1065"/>
        <w:gridCol w:w="1170"/>
        <w:gridCol w:w="1054"/>
      </w:tblGrid>
      <w:tr w14:paraId="54B2C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86" w:type="dxa"/>
            <w:shd w:val="clear" w:color="auto" w:fill="F2F2F2"/>
          </w:tcPr>
          <w:p w14:paraId="79A7895C">
            <w:r>
              <w:t>Company</w:t>
            </w:r>
          </w:p>
        </w:tc>
        <w:tc>
          <w:tcPr>
            <w:tcW w:w="931" w:type="dxa"/>
            <w:shd w:val="clear" w:color="auto" w:fill="F2F2F2"/>
          </w:tcPr>
          <w:p w14:paraId="3DAD61BF">
            <w:r>
              <w:t>Mkt Cap ($bn)</w:t>
            </w:r>
          </w:p>
        </w:tc>
        <w:tc>
          <w:tcPr>
            <w:tcW w:w="1145" w:type="dxa"/>
            <w:shd w:val="clear" w:color="auto" w:fill="F2F2F2"/>
          </w:tcPr>
          <w:p w14:paraId="724F1F7E">
            <w:r>
              <w:t>EV ($bn)</w:t>
            </w:r>
          </w:p>
        </w:tc>
        <w:tc>
          <w:tcPr>
            <w:tcW w:w="1107" w:type="dxa"/>
            <w:shd w:val="clear" w:color="auto" w:fill="F2F2F2"/>
          </w:tcPr>
          <w:p w14:paraId="40AC128C">
            <w:r>
              <w:t>Revenue ($bn)</w:t>
            </w:r>
          </w:p>
        </w:tc>
        <w:tc>
          <w:tcPr>
            <w:tcW w:w="1102" w:type="dxa"/>
            <w:shd w:val="clear" w:color="auto" w:fill="F2F2F2"/>
          </w:tcPr>
          <w:p w14:paraId="5676B914">
            <w:r>
              <w:t>EBITDA ($bn)</w:t>
            </w:r>
          </w:p>
        </w:tc>
        <w:tc>
          <w:tcPr>
            <w:tcW w:w="1065" w:type="dxa"/>
            <w:shd w:val="clear" w:color="auto" w:fill="F2F2F2"/>
          </w:tcPr>
          <w:p w14:paraId="29E2930D">
            <w:r>
              <w:t>EV/Rev</w:t>
            </w:r>
          </w:p>
        </w:tc>
        <w:tc>
          <w:tcPr>
            <w:tcW w:w="1170" w:type="dxa"/>
            <w:shd w:val="clear" w:color="auto" w:fill="F2F2F2"/>
          </w:tcPr>
          <w:p w14:paraId="3D9DB38D">
            <w:r>
              <w:t>EV/EBITDA</w:t>
            </w:r>
          </w:p>
        </w:tc>
        <w:tc>
          <w:tcPr>
            <w:tcW w:w="1054" w:type="dxa"/>
            <w:shd w:val="clear" w:color="auto" w:fill="F2F2F2"/>
          </w:tcPr>
          <w:p w14:paraId="1EF754C8">
            <w:r>
              <w:t>P/E</w:t>
            </w:r>
          </w:p>
        </w:tc>
      </w:tr>
      <w:tr w14:paraId="4500F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 w14:paraId="138DDFE6">
            <w:r>
              <w:t>Pernod Ricard</w:t>
            </w:r>
          </w:p>
        </w:tc>
        <w:tc>
          <w:tcPr>
            <w:tcW w:w="931" w:type="dxa"/>
          </w:tcPr>
          <w:p w14:paraId="3669D17D">
            <w:r>
              <w:t>15.27</w:t>
            </w:r>
          </w:p>
        </w:tc>
        <w:tc>
          <w:tcPr>
            <w:tcW w:w="1145" w:type="dxa"/>
          </w:tcPr>
          <w:p w14:paraId="1364392B">
            <w:r>
              <w:t>25.94</w:t>
            </w:r>
          </w:p>
        </w:tc>
        <w:tc>
          <w:tcPr>
            <w:tcW w:w="1107" w:type="dxa"/>
          </w:tcPr>
          <w:p w14:paraId="2A89C916">
            <w:r>
              <w:t>9.40</w:t>
            </w:r>
          </w:p>
        </w:tc>
        <w:tc>
          <w:tcPr>
            <w:tcW w:w="1102" w:type="dxa"/>
          </w:tcPr>
          <w:p w14:paraId="2678793D">
            <w:r>
              <w:t>2.62</w:t>
            </w:r>
          </w:p>
        </w:tc>
        <w:tc>
          <w:tcPr>
            <w:tcW w:w="1065" w:type="dxa"/>
          </w:tcPr>
          <w:p w14:paraId="043331F9">
            <w:r>
              <w:t>2.76x</w:t>
            </w:r>
          </w:p>
        </w:tc>
        <w:tc>
          <w:tcPr>
            <w:tcW w:w="1170" w:type="dxa"/>
          </w:tcPr>
          <w:p w14:paraId="29B7B4EE">
            <w:r>
              <w:t>9.88x</w:t>
            </w:r>
          </w:p>
        </w:tc>
        <w:tc>
          <w:tcPr>
            <w:tcW w:w="1054" w:type="dxa"/>
          </w:tcPr>
          <w:p w14:paraId="21293E2C">
            <w:r>
              <w:t>12.72x</w:t>
            </w:r>
          </w:p>
        </w:tc>
      </w:tr>
      <w:tr w14:paraId="3A843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 w14:paraId="5BF937D9">
            <w:r>
              <w:t>Brown-Forman</w:t>
            </w:r>
          </w:p>
        </w:tc>
        <w:tc>
          <w:tcPr>
            <w:tcW w:w="931" w:type="dxa"/>
          </w:tcPr>
          <w:p w14:paraId="2B7923AB">
            <w:r>
              <w:t>12.12</w:t>
            </w:r>
          </w:p>
        </w:tc>
        <w:tc>
          <w:tcPr>
            <w:tcW w:w="1145" w:type="dxa"/>
          </w:tcPr>
          <w:p w14:paraId="61D81FB8">
            <w:r>
              <w:t>14.26</w:t>
            </w:r>
          </w:p>
        </w:tc>
        <w:tc>
          <w:tcPr>
            <w:tcW w:w="1107" w:type="dxa"/>
          </w:tcPr>
          <w:p w14:paraId="62E98D0D">
            <w:r>
              <w:t>3.92</w:t>
            </w:r>
          </w:p>
        </w:tc>
        <w:tc>
          <w:tcPr>
            <w:tcW w:w="1102" w:type="dxa"/>
          </w:tcPr>
          <w:p w14:paraId="767F7274">
            <w:r>
              <w:t>1.19</w:t>
            </w:r>
          </w:p>
        </w:tc>
        <w:tc>
          <w:tcPr>
            <w:tcW w:w="1065" w:type="dxa"/>
          </w:tcPr>
          <w:p w14:paraId="58F0CB1B">
            <w:r>
              <w:t>3.64x</w:t>
            </w:r>
          </w:p>
        </w:tc>
        <w:tc>
          <w:tcPr>
            <w:tcW w:w="1170" w:type="dxa"/>
          </w:tcPr>
          <w:p w14:paraId="7B0C959C">
            <w:r>
              <w:t>13.08x</w:t>
            </w:r>
          </w:p>
        </w:tc>
        <w:tc>
          <w:tcPr>
            <w:tcW w:w="1054" w:type="dxa"/>
          </w:tcPr>
          <w:p w14:paraId="60B2C552">
            <w:r>
              <w:t>16.96x</w:t>
            </w:r>
          </w:p>
        </w:tc>
      </w:tr>
      <w:tr w14:paraId="6653B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 w14:paraId="0028C576">
            <w:r>
              <w:t>Constellation Brands</w:t>
            </w:r>
          </w:p>
        </w:tc>
        <w:tc>
          <w:tcPr>
            <w:tcW w:w="931" w:type="dxa"/>
          </w:tcPr>
          <w:p w14:paraId="5632B103">
            <w:r>
              <w:t>19.91</w:t>
            </w:r>
          </w:p>
        </w:tc>
        <w:tc>
          <w:tcPr>
            <w:tcW w:w="1145" w:type="dxa"/>
          </w:tcPr>
          <w:p w14:paraId="403B1C50">
            <w:r>
              <w:t>30.34</w:t>
            </w:r>
          </w:p>
        </w:tc>
        <w:tc>
          <w:tcPr>
            <w:tcW w:w="1107" w:type="dxa"/>
          </w:tcPr>
          <w:p w14:paraId="76848617">
            <w:r>
              <w:t>9.21</w:t>
            </w:r>
          </w:p>
        </w:tc>
        <w:tc>
          <w:tcPr>
            <w:tcW w:w="1102" w:type="dxa"/>
          </w:tcPr>
          <w:p w14:paraId="66B40DF3">
            <w:r>
              <w:t>3.43</w:t>
            </w:r>
          </w:p>
        </w:tc>
        <w:tc>
          <w:tcPr>
            <w:tcW w:w="1065" w:type="dxa"/>
          </w:tcPr>
          <w:p w14:paraId="36DE901C">
            <w:r>
              <w:t>3.37x</w:t>
            </w:r>
          </w:p>
        </w:tc>
        <w:tc>
          <w:tcPr>
            <w:tcW w:w="1170" w:type="dxa"/>
          </w:tcPr>
          <w:p w14:paraId="5AB612E6">
            <w:r>
              <w:t>9.29x</w:t>
            </w:r>
          </w:p>
        </w:tc>
        <w:tc>
          <w:tcPr>
            <w:tcW w:w="1054" w:type="dxa"/>
          </w:tcPr>
          <w:p w14:paraId="0F69956F">
            <w:r>
              <w:t>11.20x</w:t>
            </w:r>
          </w:p>
        </w:tc>
      </w:tr>
      <w:tr w14:paraId="193CC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 w14:paraId="1E2BF56E">
            <w:r>
              <w:rPr>
                <w:b/>
              </w:rPr>
              <w:t>Median (peers)</w:t>
            </w:r>
          </w:p>
        </w:tc>
        <w:tc>
          <w:tcPr>
            <w:tcW w:w="931" w:type="dxa"/>
          </w:tcPr>
          <w:p w14:paraId="6B45A3F8">
            <w:r>
              <w:t>—</w:t>
            </w:r>
          </w:p>
        </w:tc>
        <w:tc>
          <w:tcPr>
            <w:tcW w:w="1145" w:type="dxa"/>
          </w:tcPr>
          <w:p w14:paraId="2119FAA1">
            <w:r>
              <w:t>—</w:t>
            </w:r>
          </w:p>
        </w:tc>
        <w:tc>
          <w:tcPr>
            <w:tcW w:w="1107" w:type="dxa"/>
          </w:tcPr>
          <w:p w14:paraId="137F7EE9">
            <w:r>
              <w:t>—</w:t>
            </w:r>
          </w:p>
        </w:tc>
        <w:tc>
          <w:tcPr>
            <w:tcW w:w="1102" w:type="dxa"/>
          </w:tcPr>
          <w:p w14:paraId="5ACAD898">
            <w:r>
              <w:t>—</w:t>
            </w:r>
          </w:p>
        </w:tc>
        <w:tc>
          <w:tcPr>
            <w:tcW w:w="1065" w:type="dxa"/>
          </w:tcPr>
          <w:p w14:paraId="5CB0363E">
            <w:r>
              <w:rPr>
                <w:b/>
              </w:rPr>
              <w:t>3.37x</w:t>
            </w:r>
          </w:p>
        </w:tc>
        <w:tc>
          <w:tcPr>
            <w:tcW w:w="1170" w:type="dxa"/>
          </w:tcPr>
          <w:p w14:paraId="7AB192BD">
            <w:r>
              <w:rPr>
                <w:b/>
              </w:rPr>
              <w:t>9.88x</w:t>
            </w:r>
          </w:p>
        </w:tc>
        <w:tc>
          <w:tcPr>
            <w:tcW w:w="1054" w:type="dxa"/>
          </w:tcPr>
          <w:p w14:paraId="0E176BBC">
            <w:r>
              <w:rPr>
                <w:b/>
              </w:rPr>
              <w:t>12.72x</w:t>
            </w:r>
          </w:p>
        </w:tc>
      </w:tr>
      <w:tr w14:paraId="564F7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 w14:paraId="574873D1">
            <w:r>
              <w:rPr>
                <w:b/>
              </w:rPr>
              <w:t>Diageo</w:t>
            </w:r>
          </w:p>
        </w:tc>
        <w:tc>
          <w:tcPr>
            <w:tcW w:w="931" w:type="dxa"/>
          </w:tcPr>
          <w:p w14:paraId="099A099D">
            <w:r>
              <w:t>45.5</w:t>
            </w:r>
          </w:p>
        </w:tc>
        <w:tc>
          <w:tcPr>
            <w:tcW w:w="1145" w:type="dxa"/>
          </w:tcPr>
          <w:p w14:paraId="74BC1444">
            <w:r>
              <w:t>67.4</w:t>
            </w:r>
          </w:p>
        </w:tc>
        <w:tc>
          <w:tcPr>
            <w:tcW w:w="1107" w:type="dxa"/>
          </w:tcPr>
          <w:p w14:paraId="49DADCFE">
            <w:r>
              <w:t>20.25</w:t>
            </w:r>
          </w:p>
        </w:tc>
        <w:tc>
          <w:tcPr>
            <w:tcW w:w="1102" w:type="dxa"/>
          </w:tcPr>
          <w:p w14:paraId="0FE02034">
            <w:r>
              <w:t>6.05</w:t>
            </w:r>
          </w:p>
        </w:tc>
        <w:tc>
          <w:tcPr>
            <w:tcW w:w="1065" w:type="dxa"/>
          </w:tcPr>
          <w:p w14:paraId="6AB7FA10">
            <w:r>
              <w:t>3.33x</w:t>
            </w:r>
          </w:p>
        </w:tc>
        <w:tc>
          <w:tcPr>
            <w:tcW w:w="1170" w:type="dxa"/>
          </w:tcPr>
          <w:p w14:paraId="269AC83E">
            <w:r>
              <w:t>11.14x</w:t>
            </w:r>
          </w:p>
        </w:tc>
        <w:tc>
          <w:tcPr>
            <w:tcW w:w="1054" w:type="dxa"/>
          </w:tcPr>
          <w:p w14:paraId="0703CC76">
            <w:r>
              <w:t>14.25x (fwd)</w:t>
            </w:r>
          </w:p>
        </w:tc>
      </w:tr>
    </w:tbl>
    <w:p w14:paraId="6716907D">
      <w:r>
        <w:t>Diageo trades at a modest premium to peers on EV/EBITDA, in line on EV/Revenue. Premium is justified by scale and brand portfolio. Diageo's trailing P/E (30.5x) is distorted by FY25 Moët Hennessy impairment — forward P/E of 14.25x is the right comparison.</w:t>
      </w:r>
    </w:p>
    <w:p w14:paraId="1CDE06EA">
      <w:pPr>
        <w:pStyle w:val="3"/>
      </w:pPr>
      <w:r>
        <w:t>Sources</w:t>
      </w:r>
    </w:p>
    <w:p w14:paraId="3F0F4DB2">
      <w:pPr>
        <w:pStyle w:val="18"/>
        <w:numPr>
          <w:ilvl w:val="0"/>
          <w:numId w:val="3"/>
        </w:numPr>
      </w:pPr>
      <w:r>
        <w:t xml:space="preserve">Diageo Annual Reports FY21–FY25 — </w:t>
      </w:r>
      <w:r>
        <w:fldChar w:fldCharType="begin"/>
      </w:r>
      <w:r>
        <w:instrText xml:space="preserve"> HYPERLINK "https://www.diageo.com/en/investors/results-reports-and-events/annual-reports" </w:instrText>
      </w:r>
      <w:r>
        <w:fldChar w:fldCharType="separate"/>
      </w:r>
      <w:r>
        <w:rPr>
          <w:rStyle w:val="12"/>
        </w:rPr>
        <w:t>diageo.com/investors</w:t>
      </w:r>
      <w:r>
        <w:rPr>
          <w:rStyle w:val="12"/>
        </w:rPr>
        <w:fldChar w:fldCharType="end"/>
      </w:r>
    </w:p>
    <w:p w14:paraId="467729E5">
      <w:pPr>
        <w:pStyle w:val="18"/>
        <w:numPr>
          <w:ilvl w:val="0"/>
          <w:numId w:val="3"/>
        </w:numPr>
      </w:pPr>
      <w:r>
        <w:t xml:space="preserve">Diageo H1 FY26 interim results — </w:t>
      </w:r>
      <w:r>
        <w:fldChar w:fldCharType="begin"/>
      </w:r>
      <w:r>
        <w:instrText xml:space="preserve"> HYPERLINK "https://www.sec.gov/cgi-bin/browse-edgar?action=getcompany&amp;CIK=0000835403" </w:instrText>
      </w:r>
      <w:r>
        <w:fldChar w:fldCharType="separate"/>
      </w:r>
      <w:r>
        <w:rPr>
          <w:rStyle w:val="12"/>
        </w:rPr>
        <w:t>SEC EDGAR 6-K filing</w:t>
      </w:r>
      <w:r>
        <w:rPr>
          <w:rStyle w:val="12"/>
        </w:rPr>
        <w:fldChar w:fldCharType="end"/>
      </w:r>
    </w:p>
    <w:p w14:paraId="0DDF689B">
      <w:pPr>
        <w:pStyle w:val="18"/>
        <w:numPr>
          <w:ilvl w:val="0"/>
          <w:numId w:val="3"/>
        </w:numPr>
      </w:pPr>
      <w:r>
        <w:t xml:space="preserve">UK 10Y Gilt yield — </w:t>
      </w:r>
      <w:r>
        <w:fldChar w:fldCharType="begin"/>
      </w:r>
      <w:r>
        <w:instrText xml:space="preserve"> HYPERLINK "https://www.bankofengland.co.uk/" </w:instrText>
      </w:r>
      <w:r>
        <w:fldChar w:fldCharType="separate"/>
      </w:r>
      <w:r>
        <w:rPr>
          <w:rStyle w:val="12"/>
        </w:rPr>
        <w:t>Bank of England</w:t>
      </w:r>
      <w:r>
        <w:rPr>
          <w:rStyle w:val="12"/>
        </w:rPr>
        <w:fldChar w:fldCharType="end"/>
      </w:r>
    </w:p>
    <w:p w14:paraId="55BC3D1D">
      <w:pPr>
        <w:pStyle w:val="18"/>
        <w:numPr>
          <w:ilvl w:val="0"/>
          <w:numId w:val="3"/>
        </w:numPr>
      </w:pPr>
      <w:r>
        <w:t xml:space="preserve">Equity Risk Premium — </w:t>
      </w:r>
      <w:r>
        <w:fldChar w:fldCharType="begin"/>
      </w:r>
      <w:r>
        <w:instrText xml:space="preserve"> HYPERLINK "https://pages.stern.nyu.edu/~adamodar/" </w:instrText>
      </w:r>
      <w:r>
        <w:fldChar w:fldCharType="separate"/>
      </w:r>
      <w:r>
        <w:rPr>
          <w:rStyle w:val="12"/>
        </w:rPr>
        <w:t>Damodaran UK (NYU Stern)</w:t>
      </w:r>
      <w:r>
        <w:rPr>
          <w:rStyle w:val="12"/>
        </w:rPr>
        <w:fldChar w:fldCharType="end"/>
      </w:r>
    </w:p>
    <w:p w14:paraId="67BF20A8">
      <w:pPr>
        <w:pStyle w:val="18"/>
        <w:numPr>
          <w:ilvl w:val="0"/>
          <w:numId w:val="3"/>
        </w:numPr>
      </w:pPr>
      <w:r>
        <w:t xml:space="preserve">Share price data — </w:t>
      </w:r>
      <w:r>
        <w:fldChar w:fldCharType="begin"/>
      </w:r>
      <w:r>
        <w:instrText xml:space="preserve"> HYPERLINK "https://www.londonstockexchange.com/stock/DGE/diageo-plc" </w:instrText>
      </w:r>
      <w:r>
        <w:fldChar w:fldCharType="separate"/>
      </w:r>
      <w:r>
        <w:rPr>
          <w:rStyle w:val="12"/>
        </w:rPr>
        <w:t>London Stock Exchange</w:t>
      </w:r>
      <w:r>
        <w:rPr>
          <w:rStyle w:val="12"/>
        </w:rPr>
        <w:fldChar w:fldCharType="end"/>
      </w:r>
      <w:r>
        <w:t>, as at 20 October 2026</w:t>
      </w:r>
    </w:p>
    <w:p w14:paraId="297CDAC9">
      <w:pPr>
        <w:pStyle w:val="18"/>
        <w:numPr>
          <w:ilvl w:val="0"/>
          <w:numId w:val="3"/>
        </w:numPr>
      </w:pPr>
      <w:r>
        <w:t xml:space="preserve">Peer financial data — </w:t>
      </w:r>
      <w:r>
        <w:fldChar w:fldCharType="begin"/>
      </w:r>
      <w:r>
        <w:instrText xml:space="preserve"> HYPERLINK "https://stockanalysis.com/" </w:instrText>
      </w:r>
      <w:r>
        <w:fldChar w:fldCharType="separate"/>
      </w:r>
      <w:r>
        <w:rPr>
          <w:rStyle w:val="12"/>
        </w:rPr>
        <w:t>stockanalysis.com</w:t>
      </w:r>
      <w:r>
        <w:rPr>
          <w:rStyle w:val="12"/>
        </w:rPr>
        <w:fldChar w:fldCharType="end"/>
      </w:r>
    </w:p>
    <w:p w14:paraId="7D23808F">
      <w:pPr>
        <w:pStyle w:val="3"/>
      </w:pPr>
      <w:r>
        <w:t>Disclaimer</w:t>
      </w:r>
    </w:p>
    <w:p w14:paraId="6F8F6246">
      <w:bookmarkStart w:id="0" w:name="_GoBack"/>
      <w:bookmarkEnd w:id="0"/>
      <w:r>
        <w:t>This valuation model is prepared for educational and portfolio demonstration purposes only. It does not constitute investment advice or a recommendation to buy or sell securities. All data sourced from public filings. Author holds no position in DGE.L.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o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o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footnotePr>
    <w:footnote w:id="0"/>
    <w:footnote w:id="1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000000"/>
    <w:rsid w:val="02ED36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spacing w:before="360" w:after="120"/>
      <w:outlineLvl w:val="0"/>
    </w:pPr>
    <w:rPr>
      <w:b/>
      <w:sz w:val="32"/>
    </w:rPr>
  </w:style>
  <w:style w:type="paragraph" w:styleId="3">
    <w:name w:val="heading 2"/>
    <w:basedOn w:val="1"/>
    <w:next w:val="1"/>
    <w:qFormat/>
    <w:uiPriority w:val="0"/>
    <w:pPr>
      <w:keepNext/>
      <w:spacing w:before="280" w:after="100"/>
      <w:outlineLvl w:val="1"/>
    </w:pPr>
    <w:rPr>
      <w:b/>
      <w:sz w:val="26"/>
    </w:rPr>
  </w:style>
  <w:style w:type="paragraph" w:styleId="4">
    <w:name w:val="heading 3"/>
    <w:basedOn w:val="1"/>
    <w:next w:val="1"/>
    <w:qFormat/>
    <w:uiPriority w:val="0"/>
    <w:pPr>
      <w:keepNext/>
      <w:spacing w:before="240" w:after="80"/>
      <w:outlineLvl w:val="2"/>
    </w:pPr>
    <w:rPr>
      <w:b/>
      <w:sz w:val="24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b/>
      <w:sz w:val="22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i/>
      <w:sz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uiPriority w:val="0"/>
    <w:rPr>
      <w:sz w:val="16"/>
      <w:szCs w:val="16"/>
    </w:rPr>
  </w:style>
  <w:style w:type="paragraph" w:styleId="11">
    <w:name w:val="annotation text"/>
    <w:basedOn w:val="1"/>
    <w:uiPriority w:val="0"/>
    <w:pPr>
      <w:spacing w:line="240" w:lineRule="auto"/>
    </w:pPr>
    <w:rPr>
      <w:sz w:val="20"/>
      <w:szCs w:val="20"/>
    </w:rPr>
  </w:style>
  <w:style w:type="character" w:styleId="12">
    <w:name w:val="Hyperlink"/>
    <w:uiPriority w:val="0"/>
    <w:rPr>
      <w:color w:val="0563C1"/>
      <w:u w:val="single"/>
    </w:rPr>
  </w:style>
  <w:style w:type="table" w:styleId="13">
    <w:name w:val="Table Grid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0"/>
    <w:pPr>
      <w:spacing w:after="80"/>
      <w:contextualSpacing/>
    </w:pPr>
    <w:rPr>
      <w:sz w:val="56"/>
    </w:rPr>
  </w:style>
  <w:style w:type="paragraph" w:styleId="15">
    <w:name w:val="Quote"/>
    <w:basedOn w:val="1"/>
    <w:qFormat/>
    <w:uiPriority w:val="0"/>
    <w:pPr>
      <w:pBdr>
        <w:left w:val="single" w:color="A0A0A0" w:sz="12" w:space="8"/>
      </w:pBdr>
      <w:ind w:left="720" w:right="720"/>
    </w:pPr>
    <w:rPr>
      <w:i/>
      <w:color w:val="404040"/>
    </w:rPr>
  </w:style>
  <w:style w:type="paragraph" w:customStyle="1" w:styleId="16">
    <w:name w:val="Code"/>
    <w:basedOn w:val="1"/>
    <w:link w:val="17"/>
    <w:qFormat/>
    <w:uiPriority w:val="0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customStyle="1" w:styleId="17">
    <w:name w:val="Code Char"/>
    <w:link w:val="16"/>
    <w:qFormat/>
    <w:uiPriority w:val="0"/>
    <w:rPr>
      <w:rFonts w:ascii="Consolas" w:hAnsi="Consolas" w:eastAsia="Consolas" w:cs="Consolas"/>
      <w:sz w:val="20"/>
      <w:shd w:val="clear" w:color="auto" w:fill="F5F5F5"/>
    </w:rPr>
  </w:style>
  <w:style w:type="paragraph" w:styleId="18">
    <w:name w:val="List Paragraph"/>
    <w:basedOn w:val="1"/>
    <w:qFormat/>
    <w:uiPriority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819</Words>
  <Characters>4398</Characters>
  <TotalTime>2</TotalTime>
  <ScaleCrop>false</ScaleCrop>
  <LinksUpToDate>false</LinksUpToDate>
  <CharactersWithSpaces>4986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2026-10-23T12:00:01Z</dcterms:created>
  <dc:creator>navee</dc:creator>
  <dc:description>Claude Docs node/23f9ad69-eb35@46 docx-w7</dc:description>
  <cp:lastModifiedBy>Naveen ThotA</cp:lastModifiedBy>
  <dcterms:modified xsi:type="dcterms:W3CDTF">2026-10-23T12:02:11Z</dcterms:modified>
  <dc:title>Diageo PLC (DGE.L) — Equity Research Note</dc:title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eyJoZGlkIjoiZTNiMmJjMGUyMDNhMGI0MjllZTc4OTE3ODRjOTBjMWQiLCJ1c2VySWQiOiIzNzI4NzI1NTQ5NDE3In0=</vt:lpwstr>
  </property>
  <property fmtid="{D5CDD505-2E9C-101B-9397-08002B2CF9AE}" pid="3" name="KSOProductBuildVer">
    <vt:lpwstr>1033-12.1.0.29162</vt:lpwstr>
  </property>
  <property fmtid="{D5CDD505-2E9C-101B-9397-08002B2CF9AE}" pid="4" name="ICV">
    <vt:lpwstr>C89851701D104E9A85F4EAC5CEA4EC75_12</vt:lpwstr>
  </property>
</Properties>
</file>