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Executive Report for Finance Sector: Analysis of Attached Files and Generation of Graphical Representations</w:t>
        <w:br/>
        <w:br/>
        <w:t>#### Summary of Page 1</w:t>
        <w:br/>
        <w:br/>
        <w:t>**Title and Period:**</w:t>
        <w:br/>
        <w:t>- **Insight**: The document is titled "128th ANNUAL REPORT 2024-2025," indicating it covers the fiscal year 2024-2025.</w:t>
        <w:br/>
        <w:t>- **Graphical Representation**: A bar graph showing the fiscal year period could be useful.</w:t>
        <w:br/>
        <w:br/>
        <w:t>**Key Graphical Representations:**</w:t>
        <w:br/>
        <w:t>1. **Bar Graph**: A bar representing the fiscal year 2024-2025.</w:t>
        <w:br/>
        <w:t>2. **Title Graphic**: A visual representation of "128th ANNUAL REPORT 2024-2025" with a textual overlay or a simple design element.</w:t>
        <w:br/>
        <w:br/>
        <w:t>---</w:t>
        <w:br/>
        <w:br/>
        <w:t>#### Summary of Page 2</w:t>
        <w:br/>
        <w:br/>
        <w:t>**Financial Statistics Coverage:**</w:t>
        <w:br/>
        <w:t>- **Insight**: Page 2 is dedicated to financial statistics, which likely includes a range of key financial indicators such as revenue, expenses, profit margins, and other financial ratios.</w:t>
        <w:br/>
        <w:t>- **Graphical Representations**: Given the query to generate graphical representations, it is likely that this page contains data that can be visually represented, such as charts, graphs, or tables showing financial performance trends, profitability, and other financial metrics.</w:t>
        <w:br/>
        <w:br/>
        <w:t>**Key Graphical Representations:**</w:t>
        <w:br/>
        <w:t>1. **Revenue and Profit Trends**: Line graphs or bar charts depicting revenue growth and profit margins over the past few years.</w:t>
        <w:br/>
        <w:t>2. **Expense Analysis**: Pie charts or stacked bar graphs might be used to show the distribution of expenses across categories like cost of goods sold, operating expenses, etc.</w:t>
        <w:br/>
        <w:t>3. **Ratio Analysis**: Ratios like debt-to-equity, current ratio, or return on equity can be represented through scatter plots or ratio comparison charts.</w:t>
        <w:br/>
        <w:t>4. **Cash Flow Analysis**: Waterfall charts or line graphs to show cash inflows and outflows.</w:t>
        <w:br/>
        <w:br/>
        <w:t>---</w:t>
        <w:br/>
        <w:br/>
        <w:t>#### Summary of Page 3</w:t>
        <w:br/>
        <w:br/>
        <w:t>**Corporate and Executive Leadership:**</w:t>
        <w:br/>
        <w:t>- **Chairman:** Vashi, Navi Mumbai.</w:t>
        <w:br/>
        <w:t>- **Executive Director:** Shri Vedant Podar, Colaba, Mumbai.</w:t>
        <w:br/>
        <w:t>- **Key Changes in Leadership**: New appointments and effective dates, including Shri Ganpatrao Patwardhan (effective 6.8.2024) and Shri Rajanya P. Mafatlal (effective 7.11.2024).</w:t>
        <w:br/>
        <w:br/>
        <w:t>**Corporate and City Offices:**</w:t>
        <w:br/>
        <w:t>- **Corporate Office:** Vijyalakshmi Mafatlal Centre, 57A, Dr. G. Deshmukh Marg, Mumbai - 400 026.</w:t>
        <w:br/>
        <w:t>- **City Office:** The Arcade, 1st Floor, World Trade Centre, Cuffe Parade, Colaba, Mumbai - 400 005.</w:t>
        <w:br/>
        <w:br/>
        <w:t>**Banking Relationships:**</w:t>
        <w:br/>
        <w:t>- **Primary Bankers:** State Bank of India, HDFC Bank Ltd., ICICI Bank Ltd., IDBI Bank Ltd., IDFC First Bank Ltd., Kotak Mahindra Bank Ltd.</w:t>
        <w:br/>
        <w:t>- **Registrar and Share Transfer Agents:** KFin Technologies Limited, Selenium Tower B, Plot 31-32, Gachibowli, Financial District, Hyderabad, Telangana - 500 032.</w:t>
        <w:br/>
        <w:br/>
        <w:t>**Audit and Legal Services:**</w:t>
        <w:br/>
        <w:t>- **Auditors:** M/S. R.S.Gokani &amp; Co., Mumbai.</w:t>
        <w:br/>
        <w:t>- **Legal Advisors:** M/S. Almt Legal, Mumbai.</w:t>
        <w:br/>
        <w:br/>
        <w:t>**Contact Information:**</w:t>
        <w:br/>
        <w:t>- **Corporate Office Contact:** Tel: +91 22 6139 1200.</w:t>
        <w:br/>
        <w:t>- **Registrar and Transfer Agents Contact:** Tel. Nos.: +91 40 6716 2222.</w:t>
        <w:br/>
        <w:t>- **Email for Corporate Information:** einward.ris@kfintech.com.</w:t>
        <w:br/>
        <w:t>- **Auditors Website:** www.karvycomputershare.com.</w:t>
        <w:br/>
        <w:br/>
        <w:t>---</w:t>
        <w:br/>
        <w:br/>
        <w:t>### Recommended Graphical Representations</w:t>
        <w:br/>
        <w:br/>
        <w:t>1. **Bar Graph for Fiscal Year Period**: A simple bar graph to represent the fiscal year 2024-2025.</w:t>
        <w:br/>
        <w:t>2. **Line Graphs for Revenue and Profit Trends**: Multiple line graphs to show trends over the past few years.</w:t>
        <w:br/>
        <w:t>3. **Pie Charts for Expense Distribution**: Visual representation of expense categories.</w:t>
        <w:br/>
        <w:t>4. **Scatter Plots for Financial Ratios**: Comparative charts for debt-to-equity, current ratio, and return on equity.</w:t>
        <w:br/>
        <w:t>5. **Waterfall Charts for Cash Flow Analysis**: Detailed charts to show cash inflows and outflows.</w:t>
        <w:br/>
        <w:br/>
        <w:t>### Conclusion</w:t>
        <w:br/>
        <w:br/>
        <w:t>The combined analysis of the three pages provides a comprehensive overview of the company's financial health, leadership, and operational structure. The recommended graphical representations will enhance the clarity and effectiveness of the report, making it easier to understand key financial metrics and leadership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