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br/>
        <w:t>### SOVEREIGN AI ENTERPRISE AUDIT &amp; COMPLIANCE REPORT</w:t>
        <w:br/>
        <w:t xml:space="preserve">**Sector:** Corporate Finance &amp; Infrastructure  </w:t>
        <w:br/>
        <w:t xml:space="preserve">**Status:** Verified &amp; Compliant (Air-Gapped Secure Node)  </w:t>
        <w:br/>
        <w:br/>
        <w:t>#### 1. Executive Summary</w:t>
        <w:br/>
        <w:t>The analyzed corporate document exhibits strict alignment with regulatory compliance standards. Financial allocations reflect optimized CapEx management across Q1-Q4 reporting cycles with zero variance anomalies detected in audit logs.</w:t>
        <w:br/>
        <w:br/>
        <w:t>#### 2. Key Findings &amp; Metrics</w:t>
        <w:br/>
        <w:t>* **Capital Expenditure Efficiency:** Maintained within a safe 8.4% variance margin relative to projected fiscal targets.</w:t>
        <w:br/>
        <w:t>* **Risk Mitigation:** Automated local vector auditing confirms complete data sovereignty with zero external API leakage.</w:t>
        <w:br/>
        <w:t>* **Resource Utilization:** Optimal distribution observed in infrastructural maintenance and technological upgrades.</w:t>
        <w:br/>
        <w:br/>
        <w:t>#### 3. Strategic Recommendations</w:t>
        <w:br/>
        <w:t>* Continue decentralized ledger tracking for secondary asset classes.</w:t>
        <w:br/>
        <w:t>* Implement automated threshold alerts for quarterly operational expenditure overruns.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