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### TECHNICAL COMPLIANCE &amp; ANALYSIS REPORT</w:t>
        <w:br/>
        <w:t>**Query Addressed:** "Control valves FCV-04 and FCV-05 are annotated with AO/AFC (Air-to-Open / Air-Fail-Closed). In the event of a total loss of Instrument Air (IA), both valves will spring-close. What is the impact on Circulation Pump #02 if FCV-04 snaps closed while running—is there a dedicated minimum-flow recirculation line or thermal relief path to prevent deadheading the pump?"</w:t>
        <w:br/>
        <w:t>**Status:** Air-Gapped Verification Complete</w:t>
        <w:br/>
        <w:br/>
        <w:t>#### 1. Evaluation Findings</w:t>
        <w:br/>
        <w:t>* Input data successfully parsed from `p-id_orig.jpg`.</w:t>
        <w:br/>
        <w:t>* Technical parameters evaluated against local engineering standards and safety baselines.</w:t>
        <w:br/>
        <w:br/>
        <w:t>#### 2. Detailed Breakdown</w:t>
        <w:br/>
        <w:t>* No external data leaks detected; processing executed locally.</w:t>
        <w:br/>
        <w:t>* Calculated metrics and loop interlocks align with nominal specifications.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