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 As a Senior Instrumentation and Control Engineer analyzing the ratio control loop between Tank 01 and Tank 02, based on the provided P&amp;ID diagram:</w:t>
        <w:br/>
        <w:br/>
        <w:t>1. **Flow Transmitter FT-04**: This is the primary measuring device for flow in the system, with a measurement scale that likely ranges from 0% to 100% of the maximum flow rate. It is responsible for detecting the flow rate and communicating this information to the control loop.</w:t>
        <w:br/>
        <w:br/>
        <w:t>2. **Flow Indicating Controller FIC-04**: This controller is responsible for comparing the actual flow rate to the desired flow rate set by the operator. The setpoint is adjusted to maintain a specific flow ratio between the two tanks.</w:t>
        <w:br/>
        <w:br/>
        <w:t>3. **Ratio Setpoint line**: This line represents the desired flow ratio set by the operator. The controller FIC-04 uses this setpoint to determine the control signal to be sent to FCV-05.</w:t>
        <w:br/>
        <w:br/>
        <w:t>4. **Flow Control Valve FCV-05**: This valve is the final control element (FCE) in the loop. It adjusts the flow rate to the desired value by modulating the flow rate between Tank 01 and Tank 02.</w:t>
        <w:br/>
        <w:br/>
        <w:t>5. **Process Hazard**: If FT-04 experiences a sudden signal freeze or failure, it may not be able to accurately measure the flow rate. This would result in inaccurate control signals being sent to FCV-05, which could lead to inconsistencies in the flow ratio between Tank 01 and Tank 02. If this ratio deviates significantly from the setpoint, it could cause operational issues or even a safety hazard, such as overfilling Tank 02, which could lead to spills or pressure buildup.</w:t>
        <w:br/>
        <w:br/>
        <w:t>6. **Safety Interlocks**: There are no directly visible safety interlocks in the P&amp;ID that would immediately mitigate this failure. However, the process control system should have built-in redundancy and safety features that could be activated in case of such failures. These might include emergency manual control, backup flow measurement devices, or automatic system shutdowns to prevent damage.</w:t>
        <w:br/>
        <w:br/>
        <w:t>In terms of loop dynamics, the ratio setpoint line drives FIC-04, which in turn controls FCV-05. The flow transmitter FT-04 feeds into FIC-04, and the controller adjusts the setpoint based on the feedback from FT-04. The actual flow ratio is compared to the setpoint, and if there is a deviation, FCV-05 is adjusted to bring the flow ratio back to the setpoint.</w:t>
        <w:br/>
        <w:br/>
        <w:t>To mitigate the failure of FT-04, the system should have provisions for:</w:t>
        <w:br/>
        <w:t>- **Emergency Manual Control**: The operator should be able to manually adjust the flow ratio in case of a failure.</w:t>
        <w:br/>
        <w:t>- **Backup Flow Measurement**: There should be a backup measurement system that can take over if FT-04 fails.</w:t>
        <w:br/>
        <w:t>- **Automatic System Shutdown**: If the system detects a failure, it should be able to shut down the process automatically to prevent any damage or safety hazards.</w:t>
        <w:br/>
        <w:br/>
        <w:t xml:space="preserve">In conclusion, the control loop between Tank 01 and Tank 02 is designed to maintain a consistent flow ratio. However, a failure of FT-04 could lead to operational issues or safety hazards. The system should have built-in redundancy and safety features to mitigate this failure and maintain safe operation of the system.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