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The provided text outlines the agenda and resolutions for an Annual General Meeting (AGM) of Standard Industries. Here's a concise summary of the key points:</w:t>
        <w:br/>
        <w:br/>
        <w:t>### Resolutions for Appointment of Executive Director:</w:t>
        <w:br/>
        <w:t xml:space="preserve">1. **Re-Appointment of Shri D.H. Parekh**: </w:t>
        <w:br/>
        <w:t xml:space="preserve">   - Shri D.H. Parekh is re-appointed as an Executive Director for a period of 2 years, from August 2, 2025 to August 1, 2027. This re-appointment is subject to the terms set out in the Explanatory Statement as required under Section 102(1) of the Companies Act, 2013, including remuneration, commission, and perquisites.</w:t>
        <w:br/>
        <w:t xml:space="preserve">   - If the Company has no profits or inadequate profits during any Financial Year, the Company must pay the remuneration as set out in the Notice, subject to compliance with Section 197 read with Schedule V and other applicable provisions of the Companies Act, 2013.</w:t>
        <w:br/>
        <w:br/>
        <w:t>### Resolutions for Secretarial Auditors:</w:t>
        <w:br/>
        <w:t>2. **Appointment of Secretarial Auditors**:</w:t>
        <w:br/>
        <w:t xml:space="preserve">   - M/s S.K. Dwivedi &amp; Associates, a firm of Practising Company Secretaries, is appointed as Secretarial Auditors of the Company for a term of five consecutive Financial Years, starting from April 1, 2025, until March 31, 2030.</w:t>
        <w:br/>
        <w:t xml:space="preserve">   - The Company's Board of Directors or any Committee thereof is authorized to determine the remuneration, and to delegate the power to any Committee of Directors to give effect to this resolution.</w:t>
        <w:br/>
        <w:t xml:space="preserve">   - The Board is authorized to authorize the Vice President (Legal) &amp; Company Secretary to perform any acts deemed necessary, desirable, or expedient to implement this resolution.</w:t>
        <w:br/>
        <w:br/>
        <w:t>### Additional Resolutions:</w:t>
        <w:br/>
        <w:t>3. **Electronic Notice of AGM**:</w:t>
        <w:br/>
        <w:t xml:space="preserve">   - The AGM is being held through Video Conferencing (VC) or Other Audio Visual Means (OAVM) in compliance with the MCA Circulars and SEBI Circulars.</w:t>
        <w:br/>
        <w:t xml:space="preserve">   - Members who are registered with the Company or Depositories (CDSL or NSDL) will receive the Notice and Annual Report electronically.</w:t>
        <w:br/>
        <w:t xml:space="preserve">   - Members holding shares in dematerialized form should update their Depository Participant with their respective Demat account details.</w:t>
        <w:br/>
        <w:t xml:space="preserve">   - Members holding shares in physical form should send their updated details to einward.ris@kfintech.com.</w:t>
        <w:br/>
        <w:t xml:space="preserve">   - The Company has engaged KFin Technologies Limited (KFintech) as the Registrar and Transfer Agent for the e-AGM and e-voting facility.</w:t>
        <w:br/>
        <w:br/>
        <w:t>### Other Important Information:</w:t>
        <w:br/>
        <w:t>4. **Dividend Payments**:</w:t>
        <w:br/>
        <w:t xml:space="preserve">   - Dividend payments to security holders holding securities in physical form will be made only through electronic mode from April 1, 2024, subject to furnishing of PAN, choice of nomination, contact details, including mobile number, and bank account details.</w:t>
        <w:br/>
        <w:br/>
        <w:t>### Miscellaneous Notes:</w:t>
        <w:br/>
        <w:t>5. **Registration of Email Addresses**:</w:t>
        <w:br/>
        <w:t xml:space="preserve">   - Members are requested to update their e-mail addresses as provided in the notice for prompt communication and shareholder communications.</w:t>
        <w:br/>
        <w:br/>
        <w:t>This document is a comprehensive agenda that outlines the appointment of key personnel and the necessary actions for holding a virtual AGM, along with relevant regulatory requirements and operational details.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