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Based on the provided Sales Marketing SOP and the extracted financial procedures from the Finance SOP, there are no direct excerpts confirming specific thresholds, procedures, or terminology related to the data in the uploaded file. The Sales Marketing SOP primarily outlines the scope and reporting requirements of the Sales, Marketing, and Commercial Department, while the Finance SOP covers Sales and Financial processes including audit procedures and cash flow management. </w:t>
        <w:br/>
        <w:br/>
        <w:t>To confirm specific thresholds or procedures from the uploaded file, you would need to reference those procedures within their respective SOP documents or seek additional relevant information from the organization's internal guidelines, policies, or documentation.</w:t>
        <w:br/>
        <w:br/>
        <w:t>Here are some general points regarding the procedures from the Finance SOP that could be related to the data:</w:t>
        <w:br/>
        <w:br/>
        <w:t>- **Audit Reports:** The Finance SOP mentions that audit reports and working papers must be retained for a minimum of 8 years to ensure statutory compliance (Finance .txt).</w:t>
        <w:br/>
        <w:t>- **Variance Review:** Single line-item variances exceeding INR 25 lakh are automatically flagged for review (Finance .txt).</w:t>
        <w:br/>
        <w:t>- **Capital Expenditure Approval:** Approval thresholds for capital expenditures vary based on the position (Finance .txt).</w:t>
        <w:br/>
        <w:br/>
        <w:t>While these points are from the Finance SOP, they do not directly relate to the data in the uploaded file. For specific procedures or thresholds from the uploaded file, you would need to directly reference those in the file itself or seek additional internal guidelines from the organization.</w:t>
        <w:br/>
        <w:br/>
        <w:t>If you have more specific questions about the procedures mentioned in the Finance SOP or need to confirm specific thresholds, you can refer to the relevant sections:</w:t>
        <w:br/>
        <w:br/>
        <w:t>### Sales Marketing SOP:</w:t>
        <w:br/>
        <w:t>- **2.2 Monthly Regional Sales Data Submission:** This SOP outlines the procedure for monthly regional sales data submission to the Sales Analytics team. The exact format or specific data points required are not detailed in the provided excerpt.</w:t>
        <w:br/>
        <w:br/>
        <w:t>### Finance SOP:</w:t>
        <w:br/>
        <w:t>- **5.1 GST Reconciliation:** This SOP covers the process for GST reconciliation with vendors and the requirement to complete this before payment release.</w:t>
        <w:br/>
        <w:t>- **5.2 Statutory Returns:** This SOP details the filing requirements for statutory returns such as GST, TDS, and income tax. The filing deadlines are specified.</w:t>
        <w:br/>
        <w:t>- **2.3 Single Line-Item Variance Review:** This SOP mentions that any single line-item variance exceeding INR 25 lakh is automatically flagged for review.</w:t>
        <w:br/>
        <w:t>- **3.1 Statutory Audit Response:** This SOP outlines the response deadlines for statutory audit qualifications.</w:t>
        <w:br/>
        <w:t>- **3.3 Audit Reports Retention:** This SOP specifies the minimum retention period for audit reports and working papers.</w:t>
        <w:br/>
        <w:br/>
        <w:t>If you have specific thresholds or procedures you need to verify, you would need to check the uploaded file for exact details, or consult the full SOPs and internal guidelines provided by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