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Based on the information provided in the uploaded document, here's a summary of the annual general meeting (AGM) resolution and related details that the directors need to take into consideration and give effect to:</w:t>
        <w:br/>
        <w:br/>
        <w:t>### AGM Resolution Summary:</w:t>
        <w:br/>
        <w:br/>
        <w:t>#### Resolution 1: Appointment of Secretarial Auditors</w:t>
        <w:br/>
        <w:t>**Resolution:**</w:t>
        <w:br/>
        <w:t>- **Appointment:** M/s S.K. Dwivedi &amp; Associates as Secretarial Auditors.</w:t>
        <w:br/>
        <w:t>- **Term:** Five consecutive financial years, starting from 1st April, 2025, until 31st March, 2030.</w:t>
        <w:br/>
        <w:t>- **Remuneration:** Determined by the Board of Directors from time to time, in consultation with the Secretarial Auditor.</w:t>
        <w:br/>
        <w:t>- **Authority:** Board of Directors, including its Committee, or the Vice President (Legal) &amp; Company Secretary, are authorised to do all necessary acts to give effect to this resolution.</w:t>
        <w:br/>
        <w:br/>
        <w:t>#### Notes:</w:t>
        <w:br/>
        <w:t>1. **Special Business to be Transacted:** The AGM can be held through Video Conferencing (VC) / Other Audio Visual Means (OAVM), without physical presence.</w:t>
        <w:br/>
        <w:t>2. **Notice and Annual Report:** Notice and Annual Report for financial year 2024-25 will be sent electronically to Members whose email addresses are registered with the Company or Depositories. Members are requested to register/update their e-mail addresses.</w:t>
        <w:br/>
        <w:t>3. **E-AGM and e-Voting Services:** The Company has engaged KFin Technologies Limited as the authorised agency (KFintech) for conducting the e-AGM and providing e-voting facility.</w:t>
        <w:br/>
        <w:br/>
        <w:t>### Additional Information from Finance .txt:</w:t>
        <w:br/>
        <w:br/>
        <w:t>1. **Reporting and Escalation:**</w:t>
        <w:br/>
        <w:t xml:space="preserve">   - Monthly financial statements are to be closed and circulated internally within 5 working days of the month end.</w:t>
        <w:br/>
        <w:t xml:space="preserve">   - Any matter with potential material impact on financial statements (fraud, major write-off, regulatory penalty) must be escalated to the CFO immediately.</w:t>
        <w:br/>
        <w:br/>
        <w:t>2. **Statutory Returns and Tax Notices:**</w:t>
        <w:br/>
        <w:t xml:space="preserve">   - Statutory returns (GST, TDS, income tax) must be filed at least 3 working days before the regulatory due date to allow for correction of filing errors.</w:t>
        <w:br/>
        <w:t xml:space="preserve">   - Any notice received from a tax or regulatory authority must be forwarded to the Head of Taxation within 24 hours of receipt.</w:t>
        <w:br/>
        <w:br/>
        <w:t>3. **Accounts Payable and Receivable:**</w:t>
        <w:br/>
        <w:t xml:space="preserve">   - Standard vendor payment terms are Net 45 days from invoice receipt unless specified otherwise in the signed contract.</w:t>
        <w:br/>
        <w:t xml:space="preserve">   - Payments overdue by more than 30 days beyond agreed terms are reported in the weekly AP ageing report.</w:t>
        <w:br/>
        <w:t xml:space="preserve">   - Customer receivables overdue by more than 60 days require a formal follow-up note and are flagged in the monthly receivables review.</w:t>
        <w:br/>
        <w:br/>
        <w:t>These details should be taken into consideration by the directors to ensure compliance and effectiveness of the AGM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