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Budget Overview and Key Initiatives</w:t>
        <w:br/>
        <w:br/>
        <w:t>The Budget outlined several key initiatives aimed at accelerating India's economic growth, improving infrastructure, enhancing financial sector stability and efficiency, and promoting sustainable development. Below are the main points discussed in the Budget, along with a summary of relevant excerpts from the organization's SOPs/Manuals for context:</w:t>
        <w:br/>
        <w:br/>
        <w:t>1. **Government Stimulus and Public Infrastructure**</w:t>
        <w:br/>
        <w:t xml:space="preserve">   - **Increased Public Capital Expenditure**: The government proposes to increase capital expenditure from ₹2 lakh crore in FY2014-15 to ₹11.2 lakh crore in BE 2025-26, and aims to increase it to ₹12.2 lakh crore in FY2026-27.</w:t>
        <w:br/>
        <w:t xml:space="preserve">   - **Infrastructure Investment Trusts (InVITs)**: The government plans to continue focusing on infrastructure development in Tier-II and Tier-III cities, which have grown into significant growth centers.</w:t>
        <w:br/>
        <w:t xml:space="preserve">   - **Real Estate Investment Trusts (REITs)**: The government proposes to accelerate recycling of significant real estate assets of CPSEs through the setting up of dedicated REITs.</w:t>
        <w:br/>
        <w:t xml:space="preserve">   - **New Dedicated Freight Corridors**: The government plans to establish new dedicated freight corridors, operationalize 20 new National Waterways (NWs) within the next 5 years, and set up training institutes and ship repair ecosystems to enhance the inland waterways sector.</w:t>
        <w:br/>
        <w:t xml:space="preserve">   - **Incentives for Modal Shift**: The government proposes a Coastal Cargo Promotion Scheme to incentivize a shift from rail and road to inland waterways and coastal shipping, aiming to increase the share from 6% to 12% by 2047.</w:t>
        <w:br/>
        <w:t xml:space="preserve">   - **Seaplane Industry Incentives**: The government proposes a Seaplane VGF Scheme to support the development of the seaplane industry and provide incentives for indigenizing seaplane manufacturing.</w:t>
        <w:br/>
        <w:t xml:space="preserve">   - **Carbon Capture Utilization and Storage (CCUS)**: The government proposes an outlay of ₹20,000 crore over the next 5 years to align with the roadmap for CCUS technologies in industrial sectors such as power, steel, cement, refineries, and chemicals.</w:t>
        <w:br/>
        <w:br/>
        <w:t>2. **Enhancing Urban Infrastructure and Economic Opportunities**</w:t>
        <w:br/>
        <w:t xml:space="preserve">   - **City Economic Regions (CER)**: The government aims to focus on Tier-II and Tier-III cities, and even temple towns, by mapping them into CERs based on specific growth drivers and allocating ₹5,000 crore over 5 years for implementing their plans through a challenge mode with a reform-cum-results-based financing mechanism.</w:t>
        <w:br/>
        <w:t xml:space="preserve">   - **High-Speed Rail Corridors**: The government proposes developing seven High-Speed Rail corridors between major cities as "growth connectors" to promote sustainable economic growth.</w:t>
        <w:br/>
        <w:t xml:space="preserve">   - **Incentive for Municipal Bonds**: To encourage larger cities to issue municipal bonds, the government proposes an incentive of ₹100 crore for a single bond issuance of more than ₹1000 crore.</w:t>
        <w:br/>
        <w:t xml:space="preserve">   - **Environmental Sustainability**: The government proposes developing environmentally sustainable high-speed rail corridors and incentive schemes for the use of inland waterways and coastal shipping.</w:t>
        <w:br/>
        <w:br/>
        <w:t>3. **Strengthening the Financial Sector**</w:t>
        <w:br/>
        <w:t xml:space="preserve">   - **Corporate Bond Market and Municipal Bonds**: The government proposes introducing a market making framework, total return swaps, and incentives for municipal bond issuances to enhance the financial sector's stability and efficiency.</w:t>
        <w:br/>
        <w:t xml:space="preserve">   - **Foreign Exchange Management**: The government proposes a comprehensive review of the Foreign Exchange Management (Non-debt Instruments) Rules to create a more contemporary, user-friendly framework for foreign investments, aligning with evolving economic priorities.</w:t>
        <w:br/>
        <w:br/>
        <w:t>4. **Professional Support for MSMEs**</w:t>
        <w:br/>
        <w:t xml:space="preserve">   - **Professional Institutions**: The government will facilitate professional institutions such as the Indian Companies Act Institute (ICAI), Indian Companies Secretarial Institute (ICSI), and Indian Companies Management Association (ICMAI) to design short-term, modular courses and practical tools to develop a cadre of "Corporate Mitras" for MSMEs. These para-professionals will help MSMEs meet compliance requirements at affordable costs.</w:t>
        <w:br/>
        <w:br/>
        <w:t>5. **Carbon Capture Utilization and Storage (CCUS)**</w:t>
        <w:br/>
        <w:t xml:space="preserve">   - **Outlay for CCUS Technologies**: The government proposes an outlay of ₹20,000 crore over the next 5 years to align with the roadmap for CCUS technologies in five industrial sectors.</w:t>
        <w:br/>
        <w:br/>
        <w:t>### SOPs / Manuals Relevance to the Budget Initiatives</w:t>
        <w:br/>
        <w:br/>
        <w:t>#### Reporting and Escalation (Source: Finance .txt)</w:t>
        <w:br/>
        <w:t>This SOP highlights the importance of timely filing of statutory returns and audit reports. It is relevant for ensuring compliance with government requirements for financial and audit reporting.</w:t>
        <w:br/>
        <w:br/>
        <w:t>#### Treasury and Cash Flow (Source: Finance .txt)</w:t>
        <w:br/>
        <w:t>This SOP emphasizes the importance of maintaining a minimum cash runway to avoid financial disruptions. The government's plans to increase capital expenditure and infrastructure development require robust financial management, which aligns with this SOP.</w:t>
        <w:br/>
        <w:br/>
        <w:t>#### Taxation and Statutory Compliance (Source: Finance .txt)</w:t>
        <w:br/>
        <w:t>This SOP outlines the timing and procedures for filing statutory returns. The government's initiatives, such as setting up REITs for recycling real estate assets and promoting high-speed rail corridors, require careful financial and tax management.</w:t>
        <w:br/>
        <w:br/>
        <w:t>#### Application Development and Code Review (Source: It.txt)</w:t>
        <w:br/>
        <w:t>This SOP ensures that code changes are thoroughly reviewed to maintain security and compliance. The development and implementation of new infrastructure and financial systems (such as High-Speed Rail and REITs) require rigorous security and compliance measures.</w:t>
        <w:br/>
        <w:br/>
        <w:t>### Conclusion</w:t>
        <w:br/>
        <w:t>The Budget presents a comprehensive set of initiatives aimed at boosting economic growth, enhancing infrastructure, and strengthening the financial sector. The government's proposals align with the relevant SOPs and manuals, ensuring that these initiatives are implemented effectively and efficiently. The focus on Tier-II and Tier-III cities, the development of infrastructure, and the strengthening of the financial sector are all supported by the procedural guidelines outlined in the SOPs/Manuals.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