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 Short Answer</w:t>
        <w:br/>
        <w:t>Not enough evidence in the uploaded file.</w:t>
        <w:br/>
        <w:br/>
        <w:t>### Evidence from the uploaded file</w:t>
        <w:br/>
        <w:t>Not enough evidence in the uploaded file.</w:t>
        <w:br/>
        <w:br/>
        <w:t>### Data Limitation Note</w:t>
        <w:br/>
        <w:t>The provided data only covers the requirements taxonomy for various subsectors within the finance sector. There are no financial budget, P&amp;L, revenue, or cost files to analyze. Therefore, no specific financial metrics, variances, margins, or cost drivers can be calculated or compared.</w:t>
        <w:br/>
        <w:br/>
        <w:t>### Recommendation or Conclusion</w:t>
        <w:br/>
        <w:t>Given the current data, no actionable insights or recommendations can be drawn. The file provides detailed subsector requirements for the finance sector but lacks the necessary financial data to perform financial analysis. More data, specifically in the form of financial budgets, P&amp;L (Profit and Loss) statements, and cost files, is required to generate financial metrics, variances, margins, or cost drivers.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