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**Short Answer:** The topics mentioned in the attached file "budget_speech_1788352136.pdf" are related to the Government of India's Budget 2026-2027 speech. The main topics discussed include Yuva Shakti, Professional Support, Infrastructure, and Tax Reforms.</w:t>
        <w:br/>
        <w:br/>
        <w:t>**Detailed Topics Covered:**</w:t>
        <w:br/>
        <w:t>1. **Yuva Shakti (Youth Power):**</w:t>
        <w:br/>
        <w:t xml:space="preserve">   - Includes the creation of a Professional Support infrastructure to facilitate MSMEs.</w:t>
        <w:br/>
        <w:t xml:space="preserve">   - Proposes measures to enhance infrastructure in Tier II and Tier III cities.</w:t>
        <w:br/>
        <w:t xml:space="preserve">   - Suggests setting up an Infrastructure Risk Guarantee Fund to provide partial credit guarantees.</w:t>
        <w:br/>
        <w:t xml:space="preserve">   - Proposes setting up dedicated REITs for recycling significant real estate assets of Public Sector Undertakings (CPSEs).</w:t>
        <w:br/>
        <w:br/>
        <w:t>2. **Professional Support:**</w:t>
        <w:br/>
        <w:t xml:space="preserve">   - Facilitates professional institutions like ICAI, ICSI, and ICMAI to design short-term, modular courses and practical tools.</w:t>
        <w:br/>
        <w:t xml:space="preserve">   - Aims to develop a cadre of 'Corporate Mitras' for MSMEs.</w:t>
        <w:br/>
        <w:t xml:space="preserve">   - Proposes the introduction of a one-time 6-month foreign asset disclosure scheme for small taxpayers.</w:t>
        <w:br/>
        <w:br/>
        <w:t>3. **Infrastructure:**</w:t>
        <w:br/>
        <w:t xml:space="preserve">   - Proposes setting up of new Dedicated Freight Corridors and National Waterways.</w:t>
        <w:br/>
        <w:t xml:space="preserve">   - Encourages the use of inland waterways for cargo transportation.</w:t>
        <w:br/>
        <w:t xml:space="preserve">   - Suggests the launch of a Coastal Cargo Promotion Scheme to incentivize a shift from rail and road to inland waterways.</w:t>
        <w:br/>
        <w:t xml:space="preserve">   - Proposes to extend the timeline for filing tax returns for small taxpayers and to introduce a resident buyer's PAN based TDS for immovable property transactions by non-residents.</w:t>
        <w:br/>
        <w:br/>
        <w:t>4. **Tax Reforms:**</w:t>
        <w:br/>
        <w:t xml:space="preserve">   - Proposes reducing the maximum punishment for offences (except repeated offences) from 7 years to 2 years.</w:t>
        <w:br/>
        <w:t xml:space="preserve">   - Plans to rationalize the tax rate for certain incomes, merging penalties for underreporting income with penalties for cash credit and unexplained investments.</w:t>
        <w:br/>
        <w:t xml:space="preserve">   - Suggests relaxing search assessment provisions for certain situations and allowing taxpayers to update their returns even after reassessment proceedings have been initiated.</w:t>
        <w:br/>
        <w:br/>
        <w:t>**Conclusion:** The document covers a wide range of topics related to enhancing the ecosystem for MSMEs, developing infrastructure, and reforming tax laws to support economic growth and ease the burden on taxpayers.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