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trend shown in the chart "1 EST by PRODUCT" indicates a fluctuating pattern over the years. Initially, there was a significant increase from 2024 Q1 to 2024 Q2, followed by a decline in 2024 Q3 and a slight recovery in 2024 Q4. The values stabilized in early 2025 but then showed more variability, with a sharp increase in 2025 Q3. By the end of 2026, the values showed a steady increase, peaking in 2026 Q3 before a slight decline in 2026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