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Based on the provided financial information and excerpts from the organization's SOPs, here is a comprehensive summary of the key points related to the weighted average duration of defined benefit obligations and the financial management structure:</w:t>
        <w:br/>
        <w:br/>
        <w:t>### 1. **Weighted Average Duration of Defined Benefit Obligation**</w:t>
        <w:br/>
        <w:br/>
        <w:t>- **Holding Company (as of March 31, 2025):** 1 year</w:t>
        <w:br/>
        <w:t>- **Holding Company (as of March 31, 2024):** 1 year</w:t>
        <w:br/>
        <w:t>- **Subsidiary Company (Standard Salt Works Limited, as of March 31, 2025):** 6 years</w:t>
        <w:br/>
        <w:t>- **Subsidiary Company (Standard Salt Works Limited, as of March 31, 2024):** 7 years</w:t>
        <w:br/>
        <w:br/>
        <w:t>### 2. **Capital Management (Gearing Ratio)**</w:t>
        <w:br/>
        <w:br/>
        <w:t>- **Holding Company (March 31, 2025):**</w:t>
        <w:br/>
        <w:t xml:space="preserve">  - Debt (Borrowing and lease liabilities): ₹1,262.10 lakhs</w:t>
        <w:br/>
        <w:t xml:space="preserve">  - Cash and cash equivalents: ₹103.68 lakhs</w:t>
        <w:br/>
        <w:t xml:space="preserve">  - Net debt: ₹1,158.42 lakhs</w:t>
        <w:br/>
        <w:t xml:space="preserve">  - Total equity: ₹17,783.35 lakhs</w:t>
        <w:br/>
        <w:t xml:space="preserve">  - Gearing ratio: 6.74% (down from 8.61% in FY 23-24, mainly due to disposal of investments)</w:t>
        <w:br/>
        <w:br/>
        <w:t>- **Holding Company (March 31, 2024):**</w:t>
        <w:br/>
        <w:t xml:space="preserve">  - Debt (Borrowing and lease liabilities): ₹2,203.35 lakhs</w:t>
        <w:br/>
        <w:t xml:space="preserve">  - Cash and cash equivalents: ₹270.02 lakhs</w:t>
        <w:br/>
        <w:t xml:space="preserve">  - Net debt: ₹1,933.33 lakhs</w:t>
        <w:br/>
        <w:t xml:space="preserve">  - Total equity: ₹19,280.75 lakhs</w:t>
        <w:br/>
        <w:t xml:space="preserve">  - Gearing ratio: 11.36% (down from 17.03% in FY 23-24, mainly due to disposal of investments)</w:t>
        <w:br/>
        <w:br/>
        <w:t>### 3. **Financial Statement Ratios**</w:t>
        <w:br/>
        <w:br/>
        <w:t>- **Return on Equity Ratio (as of March 31, 2025):** (-0.08)</w:t>
        <w:br/>
        <w:t>- **Return on Equity Ratio (as of March 31, 2024):** (-0.01)</w:t>
        <w:br/>
        <w:t>- **Change in Ratio:** 81.60% (decrease from FY 23-24 to FY 24-25, mainly due to increased losses)</w:t>
        <w:br/>
        <w:br/>
        <w:t>### 4. **Auditor’s Responsibility for the Audit of Consolidated Financial Statements**</w:t>
        <w:br/>
        <w:br/>
        <w:t>- **Responsibilities of the Group’s Board of Directors:**</w:t>
        <w:br/>
        <w:t xml:space="preserve">  - Ensure the company continues as a going concern.</w:t>
        <w:br/>
        <w:t xml:space="preserve">  - Disclose matters related to going concern and use the going concern basis unless management intends to liquidate or cease operations.</w:t>
        <w:br/>
        <w:br/>
        <w:t>- **Auditor’s Responsibilities:**</w:t>
        <w:br/>
        <w:t xml:space="preserve">  - Obtain reasonable assurance about whether the consolidated financial statements are free from material misstatement.</w:t>
        <w:br/>
        <w:t xml:space="preserve">  - Issue an auditor’s report that includes the auditor’s opinion.</w:t>
        <w:br/>
        <w:t xml:space="preserve">  - Evaluate accounting policies, estimates, and disclosures.</w:t>
        <w:br/>
        <w:t xml:space="preserve">  - Conclude on the appropriateness of management’s use of the going concern basis.</w:t>
        <w:br/>
        <w:t xml:space="preserve">  - Evaluate the appropriateness of the presentation, structure, and content of the financial statements.</w:t>
        <w:br/>
        <w:t xml:space="preserve">  - Obtain sufficient appropriate audit evidence regarding the financial information of the entities within the group.</w:t>
        <w:br/>
        <w:br/>
        <w:t>### 5. **Capital Management (Holding Company)**</w:t>
        <w:br/>
        <w:br/>
        <w:t>- **March 31, 2025:**</w:t>
        <w:br/>
        <w:t xml:space="preserve">  - Debt (Borrowing and lease liabilities): ₹1,262.10 lakhs</w:t>
        <w:br/>
        <w:t xml:space="preserve">  - Cash and bank balances: ₹144.41 lakhs</w:t>
        <w:br/>
        <w:t xml:space="preserve">  - Net debt: ₹1,117.69 lakhs</w:t>
        <w:br/>
        <w:t xml:space="preserve">  - Total equity: ₹17,783.35 lakhs</w:t>
        <w:br/>
        <w:t xml:space="preserve">  - Gearing ratio: 6.74% (mainly due to disposal of investments)</w:t>
        <w:br/>
        <w:br/>
        <w:t>### 6. **Specific Financial Ratios**</w:t>
        <w:br/>
        <w:br/>
        <w:t>- **Sum of Years 1 to 5:**</w:t>
        <w:br/>
        <w:t xml:space="preserve">  - Holding Company: 2.44 lakhs</w:t>
        <w:br/>
        <w:t xml:space="preserve">  - Subsidiary Company: 1.42 lakhs</w:t>
        <w:br/>
        <w:t>- **Sum of Years 6 to 10:**</w:t>
        <w:br/>
        <w:t xml:space="preserve">  - Holding Company: 2.90 lakhs</w:t>
        <w:br/>
        <w:t xml:space="preserve">  - Subsidiary Company: 2.90 lakhs</w:t>
        <w:br/>
        <w:t>- **Sum of Years 11 and above:**</w:t>
        <w:br/>
        <w:t xml:space="preserve">  - Holding Company: 4.19 lakhs</w:t>
        <w:br/>
        <w:t xml:space="preserve">  - Subsidiary Company: 4.19 lakhs</w:t>
        <w:br/>
        <w:br/>
        <w:t>### 7. **Other Financial Metrics and Adjustments**</w:t>
        <w:br/>
        <w:br/>
        <w:t>- **Financial instruments (Gearing Ratio):**</w:t>
        <w:br/>
        <w:t xml:space="preserve">  - **Holding Company (March 31, 2025):** 6.74%</w:t>
        <w:br/>
        <w:t xml:space="preserve">  - **Holding Company (March 31, 2024):** 11.36%</w:t>
        <w:br/>
        <w:t xml:space="preserve">  - **Subsidiary Company (March 31, 2025):** 6 years</w:t>
        <w:br/>
        <w:t xml:space="preserve">  - **Subsidiary Company (March 31, 2024):** 7 years</w:t>
        <w:br/>
        <w:br/>
        <w:t>### 8. **Reporting and Escalation**</w:t>
        <w:br/>
        <w:br/>
        <w:t>- **Monthly Financial Statements:**</w:t>
        <w:br/>
        <w:t xml:space="preserve">  - Circulated internally within 5 working days of the month end.</w:t>
        <w:br/>
        <w:t xml:space="preserve">  - Escalation to CFO for any matter with potential material impact on financial statements (fraud, major write-off, regulatory penalty) outside normal reporting cycles.</w:t>
        <w:br/>
        <w:br/>
        <w:t>### 9. **Statutory Returns and Tax Filing**</w:t>
        <w:br/>
        <w:br/>
        <w:t>- **GST and TDS filings:** At least 3 working days before the regulatory due date.</w:t>
        <w:br/>
        <w:t>- **Tax and Regulatory Authority Notices:** Forwarded to the Head of Taxation within 24 hours of receipt.</w:t>
        <w:br/>
        <w:br/>
        <w:t>### 10. **Vendor and Customer Receivables Management**</w:t>
        <w:br/>
        <w:br/>
        <w:t>- **Vendor Payments:** Standard terms are Net 45 days from invoice receipt, unless otherwise specified in the signed contract.</w:t>
        <w:br/>
        <w:t>- **Customer Receivables:** Overdue by more than 60 days require formal follow-up and are flagged in the monthly receivables review.</w:t>
        <w:br/>
        <w:br/>
        <w:t>### 11. **Audit and Accounting Policies**</w:t>
        <w:br/>
        <w:br/>
        <w:t>- **Auditor’s Responsibilities:** Ensure reasonable assurance about material misstatements and evaluate accounting policies and disclosures.</w:t>
        <w:br/>
        <w:t>- **Board Responsibilities:** Ensure financial reporting and use of the going concern basis (unless liquidation or cessation is intended).</w:t>
        <w:br/>
        <w:br/>
        <w:t>This comprehensive summary consolidates the provided information and provides a clear overview of the financial management structure and key financial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