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Based on the provided document, here is a summary of the key changes proposed in the Finance Bill, 2026, with an emphasis on the tax and customs sections as they relate to your marine, leather, and textile products:</w:t>
        <w:br/>
        <w:br/>
        <w:t>### 1. Tax Provisions (MAT Credit and Rationalization)</w:t>
        <w:br/>
        <w:t>- **MAT Credit Increase**: Increase MAT (Minimum Alternate Tax) credit for companies shifting to the new tax regime from 15% to 14%. MAT credit will no longer be allowed in future tax years.</w:t>
        <w:br/>
        <w:t>- **MAT Credit Set-off**: Companies that shift to the new regime can set off brought forward MAT credit from prior years, up to 25% of their tax liability, to domestic companies. For foreign companies, the set-off is proposed to be allowed to the extent of the difference between the tax on total income and minimum alternate tax.</w:t>
        <w:br/>
        <w:t>- **MAT Credit Limit**: The brought forward MAT credit is available only up to the 15th year from when the credit was first available.</w:t>
        <w:br/>
        <w:t>- **Promoter Rates**: Proposals to provide differential rates for promoters in buy-back transactions, with an effective rate of 22%.</w:t>
        <w:br/>
        <w:br/>
        <w:t>### 2. Customs and Tariff Amendments</w:t>
        <w:br/>
        <w:t>- **Customs Act Amendments**:</w:t>
        <w:br/>
        <w:t xml:space="preserve">  - Proposed removal of prior permission requirement for moving goods between custom bonded warehouses.</w:t>
        <w:br/>
        <w:t xml:space="preserve">  - Amendments to Section 84 of the Customs Act to allow the Board to establish provisions for the custody of imported goods.</w:t>
        <w:br/>
        <w:t>- **Customs Tariff Act Amendments**:</w:t>
        <w:br/>
        <w:t xml:space="preserve">  - Addition of 148 new tariff entries across various chapters.</w:t>
        <w:br/>
        <w:t xml:space="preserve">  - Modification of tariffs for certain tariff items effective from 02.02.2026 and 01.04.2026.</w:t>
        <w:br/>
        <w:t xml:space="preserve">  - Creation of new tariff lines for better identification of goods such as coated pipes, precursor chemicals, and plant-based extract products.</w:t>
        <w:br/>
        <w:t xml:space="preserve">  - Removal of the cap on the value of goods exported through couriers.</w:t>
        <w:br/>
        <w:t xml:space="preserve">  - Relaxation of returns and rejects procedures for couriers.</w:t>
        <w:br/>
        <w:t xml:space="preserve">  - Amendment to the Courier Regulations allowing return to origin for certain goods.</w:t>
        <w:br/>
        <w:t>- **Amendment to the Customs Tariff Act**:</w:t>
        <w:br/>
        <w:t xml:space="preserve">  - Addition of 148 new tariff entries.</w:t>
        <w:br/>
        <w:t xml:space="preserve">  - Substitution of "examination" with "custody, examination" in Section 84 of the Customs Act.</w:t>
        <w:br/>
        <w:t xml:space="preserve">  - Simplification of the Customs Tariff Act by replacing exemptions with tariff lines for effective basic duty rates.</w:t>
        <w:br/>
        <w:br/>
        <w:t>### 3. GST Law Amendments</w:t>
        <w:br/>
        <w:t>- **Amendments to CGST Act, 2017**:</w:t>
        <w:br/>
        <w:t xml:space="preserve">  - Sub-section (3) of Section 15 of the Central Goods and Services Tax Act, 2017 amended to remove the requirement of linking post-sale discounts with agreements.</w:t>
        <w:br/>
        <w:t xml:space="preserve">  - Section 34 of the Central Goods and Services Tax Act, 2017 amended to include reference to Section 15.</w:t>
        <w:br/>
        <w:t xml:space="preserve">  - Amendments to Section 54 of the CGST Act, 2017 to provide for provisional refunds on inverted duty structure.</w:t>
        <w:br/>
        <w:br/>
        <w:t>### 4. Miscellaneous</w:t>
        <w:br/>
        <w:t>- **National Calamity Contingent Duty (NCCD) Rate Revision**: The NCCD rate for certain goods (e.g., chewing tobacco, jarda scented tobacco) is being revised from 60% to 25%, effective from 01.05.2026.</w:t>
        <w:br/>
        <w:br/>
        <w:t>### Conclusion</w:t>
        <w:br/>
        <w:t>These proposed changes aim to streamline tax and customs processes, rationalize tax provisions, and simplify tariff structures. The amendments affect tax credits, customs procedures, GST regulations, and duty rates, which are relevant for your marine, leather, and textile products. It's important to monitor these changes and update your internal procedures and systems to comply with the new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