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Given the provided document, here is a structured summary of the proposed changes and amendments, along with relevant excerpts from the organization's own SOPs/manuals for confirmation:</w:t>
        <w:br/>
        <w:br/>
        <w:t>### Proposed Changes and Amendments</w:t>
        <w:br/>
        <w:br/>
        <w:t>#### A. Finance Bill, 2026</w:t>
        <w:br/>
        <w:t>1. **New Section 56A**: Extends the validity of rulings for five years and provides special provisions for fishing and related activities.</w:t>
        <w:br/>
        <w:t>2. **Customs Act Modifications**:</w:t>
        <w:br/>
        <w:t xml:space="preserve">   - **Section 56A**: Extends the validity of rulings for five years.</w:t>
        <w:br/>
        <w:t xml:space="preserve">   - **Section 67**: Removes the requirement of prior permission for removal of warehoused goods from one warehouse to another.</w:t>
        <w:br/>
        <w:t xml:space="preserve">   - **Section 84**: Amends section to enable the Board to make provisions for the custody, examination, and assessment of duty for imported goods.</w:t>
        <w:br/>
        <w:t>3. **Customs Tariff Act, 1975**:</w:t>
        <w:br/>
        <w:t xml:space="preserve">   - **New Tariff Entries**: Adds 148 new tariff entries across various chapters, substitutes/delete 54 tariff entries, and amends 2 tariff entries in chapter 29 and 1 tariff entry in chapter 85.</w:t>
        <w:br/>
        <w:t xml:space="preserve">   - **Modified Tariff Rates**: Changes tariff rates for certain goods effective from 02.02.2026 and 01.04.2026.</w:t>
        <w:br/>
        <w:t>4. **Customs Act Regulations**:</w:t>
        <w:br/>
        <w:t xml:space="preserve">   - **Baggage Rules**: New Baggage Rules for international passengers.</w:t>
        <w:br/>
        <w:t xml:space="preserve">   - **Deferred Duty Payment**: Creation of a new class of eligible importers for deferred duty payment.</w:t>
        <w:br/>
        <w:t xml:space="preserve">   - **Courier Regulations**: Removal of cap on the value of goods exported through couriers.</w:t>
        <w:br/>
        <w:t xml:space="preserve">   - **E-Commerce Procedures**: Relaxation of returns and rejects procedures for e-commerce.</w:t>
        <w:br/>
        <w:t>5. **Exemptions and Reviews**:</w:t>
        <w:br/>
        <w:t xml:space="preserve">   - **Lapse of Exemptions**: Lapse of exemptions for certain goods, such as animals and birds imported by zoos, artificial plasma, and certain drugs, medicines, and food for special medical purposes.</w:t>
        <w:br/>
        <w:br/>
        <w:t>#### Relevant excerpts from the organization's SOPs/manuals:</w:t>
        <w:br/>
        <w:br/>
        <w:t>**Finance .txt** (MRPL Finance, Accounts &amp; Audit Department General Operating Procedure — Finance-Gen-001)</w:t>
        <w:br/>
        <w:br/>
        <w:t>1. **Scope of Finance, Accounts &amp; Audit Department**:</w:t>
        <w:br/>
        <w:t xml:space="preserve">   - **Responsibilities**: Statutory and internal audit, budgeting and variance control, treasury and cash flow management, taxation and statutory compliance, accounts payable/receivable, and financial reporting.</w:t>
        <w:br/>
        <w:t>2. **Budgeting and Variance Control**:</w:t>
        <w:br/>
        <w:t xml:space="preserve">   - **Departmental Budgets**: Prepared annually and reviewed quarterly against actuals.</w:t>
        <w:br/>
        <w:t xml:space="preserve">   - **OpEx and CapEx Variance**: Any single line-item variance exceeding INR 25 lakh against approved budget must be explained in writing to Finance within 7 working days of quarter close.</w:t>
        <w:br/>
        <w:br/>
        <w:t>These excerpts confirm the correct procedure and thresholds for budgeting and variance control within the Finance, Accounts &amp; Audit department. Any specific figures or detailed regulations for the proposed changes can be found in the Finance Bill, 2026, Customs Act, Customs Tariff Act, 1975, and other relevant regulations.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