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trend shown in the chart indicates a steady increase in gross profit from 2012 to 2016, followed by a period of growth from 2016 to 2022, with the highest gross profit in 2022 at 170,782. The overall trend suggests a recovery and expansion in profitability over the years, with the most significant growth occurring between 2016 and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