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>The capital expenditure for 2022 was reported at 4.1. Without the prior year's figure, it's not possible to make a direct comparison.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