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Here is a structured and improved version of the text, aimed at maintaining clarity and readability:</w:t>
        <w:br/>
        <w:br/>
        <w:t>---</w:t>
        <w:br/>
        <w:br/>
        <w:t>**Notes to Consolidated Financial Statements**</w:t>
        <w:br/>
        <w:br/>
        <w:t>**Note 13. Commitments and Contingencies**</w:t>
        <w:br/>
        <w:br/>
        <w:t xml:space="preserve">As of December 31, 2022, Continental Resources, Inc. and its subsidiaries have certain commitments and contingencies related to its operations. The Company estimates liabilities and losses based on available information, considering environmental and other contingencies. </w:t>
        <w:br/>
        <w:br/>
        <w:t>**Current Liabilities**</w:t>
        <w:br/>
        <w:br/>
        <w:t>The table below presents current liabilities:</w:t>
        <w:br/>
        <w:br/>
        <w:t>| Line Item | December 31, 2022 | December 31, 2021 |</w:t>
        <w:br/>
        <w:t>| --- | --- | --- |</w:t>
        <w:br/>
        <w:t>| Environmental and other contingencies and best estimates of liabilities | $3,084,662 | $1,500,127 |</w:t>
        <w:br/>
        <w:t>| Total current liabilities | $3,084,662 | $1,500,127 |</w:t>
        <w:br/>
        <w:br/>
        <w:t>**Long-term Debt and Net Current Portion**</w:t>
        <w:br/>
        <w:br/>
        <w:t>The table below presents long-term debt and net current portion:</w:t>
        <w:br/>
        <w:br/>
        <w:t>| Line Item | December 31, 2022 | December 31, 2021 |</w:t>
        <w:br/>
        <w:t>| --- | --- | --- |</w:t>
        <w:br/>
        <w:t>| Long-term debt, net of current portion | $7,571,582 | $6,826,566 |</w:t>
        <w:br/>
        <w:t>| Total long-term debt and net current portion | $7,571,582 | $6,826,566 |</w:t>
        <w:br/>
        <w:br/>
        <w:t>**Other Noncurrent Liabilities**</w:t>
        <w:br/>
        <w:br/>
        <w:t>The table below presents other noncurrent liabilities:</w:t>
        <w:br/>
        <w:br/>
        <w:t>| Line Item | December 31, 2022 | December 31, 2021 |</w:t>
        <w:br/>
        <w:t>| --- | --- | --- |</w:t>
        <w:br/>
        <w:t>| Deferred income tax liabilities, net | $2,538,312 | $2,139,884 |</w:t>
        <w:br/>
        <w:t>| Incentive compensation liability, net of current portion | $100,066 | $— |</w:t>
        <w:br/>
        <w:t>| Asset retirement obligations, net of current portion | $257,152 | $215,701 |</w:t>
        <w:br/>
        <w:t>| Derivative liabilities, noncurrent | $133,363 | $318 |</w:t>
        <w:br/>
        <w:t>| Operating lease liabilities, net of current portion | $20,055 | $13,800 |</w:t>
        <w:br/>
        <w:t>| Other noncurrent liabilities | $43,550 | $38,390 |</w:t>
        <w:br/>
        <w:t>| Total other noncurrent liabilities | $3,092,498 | $2,408,093 |</w:t>
        <w:br/>
        <w:br/>
        <w:t>**Commitments and Contingencies**</w:t>
        <w:br/>
        <w:br/>
        <w:t>The table below presents commitments and contingencies:</w:t>
        <w:br/>
        <w:br/>
        <w:t>| Line Item | December 31, 2022 | December 31, 2021 |</w:t>
        <w:br/>
        <w:t>| --- | --- | --- |</w:t>
        <w:br/>
        <w:t>| Commitments and contingencies | $— | $— |</w:t>
        <w:br/>
        <w:br/>
        <w:t>**Equity**</w:t>
        <w:br/>
        <w:br/>
        <w:t>The table below presents equity:</w:t>
        <w:br/>
        <w:br/>
        <w:t>| Line Item | December 31, 2022 | December 31, 2021 |</w:t>
        <w:br/>
        <w:t>| --- | --- | --- |</w:t>
        <w:br/>
        <w:t>| Preferred stock, $0.01 par value; 25,000,000 shares authorized; no shares issued and outstanding | $— | $— |</w:t>
        <w:br/>
        <w:t>| Common stock, $0.01 par value; 1,000,000,000 shares authorized; 299,610,267 shares issued and outstanding at December 31, 2022; 364,297,520 shares issued and outstanding at December 31, 2021 | $2,996 | $3,643 |</w:t>
        <w:br/>
        <w:t>| Additional paid-in capital | $— | $1,131,602 |</w:t>
        <w:br/>
        <w:t>| Retained earnings | $6,754,174 | $6,340,211 |</w:t>
        <w:br/>
        <w:t>| Total shareholders' equity attributable to Continental Resources | $6,757,170 | $7,474,815 |</w:t>
        <w:br/>
        <w:br/>
        <w:t>**Derivative Instruments**</w:t>
        <w:br/>
        <w:br/>
        <w:t>The table below reconciles the net amounts of derivative assets and liabilities to the financial statement line items:</w:t>
        <w:br/>
        <w:br/>
        <w:t>| Line Item | December 31, 2022 | December 31, 2021 |</w:t>
        <w:br/>
        <w:t>| --- | --- | --- |</w:t>
        <w:br/>
        <w:t>| Derivative assets | $39,280 | $22,334 |</w:t>
        <w:br/>
        <w:t>| Derivative liabilities | $(88,136) | $(899) |</w:t>
        <w:br/>
        <w:t>| Derivative assets, noncurrent | $3,548 | $13,188 |</w:t>
        <w:br/>
        <w:t>| Derivative liabilities, noncurrent | $(133,363) | $(318) |</w:t>
        <w:br/>
        <w:t>| Total derivative assets (liabilities), net | $(178,671) | $34,305 |</w:t>
        <w:br/>
        <w:br/>
        <w:t>**Note 7. Fair Value Measurements**</w:t>
        <w:br/>
        <w:br/>
        <w:t>The Company follows a three-level valuation hierarchy for disclosure of fair value measurements. The valuation hierarchy categorizes assets and liabilities based on the observability of inputs:</w:t>
        <w:br/>
        <w:br/>
        <w:t>- **Level 1:** Observable inputs that reflect unadjusted quoted prices for identical assets or liabilities in active markets as of the reporting date.</w:t>
        <w:br/>
        <w:t>- **Level 2:** Observable market-based inputs or unobservable inputs corroborated by market data. These are inputs other than quoted prices in active markets.</w:t>
        <w:br/>
        <w:t>- **Level 3:** Unobservable inputs for which there is little or no market data, which require the Company to develop its own assumptions.</w:t>
        <w:br/>
        <w:br/>
        <w:t>The fair value measurements and disclosures of financial instruments are based on the Company's policies and the specific nature of the financial instruments.</w:t>
        <w:br/>
        <w:br/>
        <w:t>**Proved Reserves**</w:t>
        <w:br/>
        <w:br/>
        <w:t>Continental’s operations may be subject to various levels of governmental controls and regulations. These controls and regulations may include, but are not limited to, matters relating to land tenure and leasing, legal rights to produce hydrocarbons, drilling and production practices, environmental protection, marketing and pricing policies, royalties, various taxes and levies including income tax, and are subject to change from time to time. Such changes in governmental regulations and policies may cause volumes of proved reserves actually recovered and amounts of proved income actually received to differ significantly from the estimated quantities.</w:t>
        <w:br/>
        <w:br/>
        <w:t>The estimates of proved reserves presented herein were based upon a detailed study of the properties in which Continental owns an interest. No consideration was given in this report to potential environmental liabilities that may exist nor were any costs included for potential liabilities to restore and clean up damages, if any, caused by past operating practices.</w:t>
        <w:br/>
        <w:br/>
        <w:t>Reserves are estimated based on specific criteria. For example, reserves on undrilled acreage are limited to those directly offsetting development spacing areas that are reasonably certain of production when drilled, unless evidence using reliable technology exists that establishes reasonable certainty of economic producibility at greater distances. Undrilled locations can be classified as having undeveloped reserves only if a development plan has been adopted indicating that they are scheduled to be drilled within five years, unless specific circumstances justify a longer time. Under no circumstances shall estimates for undeveloped reserves be attributable to any acreage for which an application of fluid injection or other improved recovery technique is contemplated, unless such techniques have been proved effective by actual projects in the same reservoir or an analogous reservoir, as defined in paragraph (a)(2) of this section, or by other evidence using reliable technology establishing reasonable certainty.</w:t>
        <w:br/>
        <w:br/>
        <w:t>---</w:t>
        <w:br/>
        <w:br/>
        <w:t>This structured version maintains the original content while improving readability and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