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It appears that you've provided a detailed excerpt from a document related to a company's financial and operational policies, particularly focusing on credit risk, interest rate risk, and derivative instruments. Let's break down the key points and summarize them:</w:t>
        <w:br/>
        <w:br/>
        <w:t>### Credit Risk</w:t>
        <w:br/>
        <w:t>- **Joint Interest Receivables**: These are primarily derived from billing entities owning partial interests in wells the company operates. Receivables are due within 30 days and are considered delinquent after 60 days. The company generally requests prepayments for drilling costs to reduce credit risk. If necessary, the company can place a lien on co-owners' interests or foreclose on them.</w:t>
        <w:br/>
        <w:t>- **Allowance for Credit Losses**: The allowance for credit losses on joint interest receivables was $5.5 million at the end of 2022 and $2.8 million at the end of 2021. No significant changes occurred in the allowance during these years.</w:t>
        <w:br/>
        <w:br/>
        <w:t>### Interest Rate Risk</w:t>
        <w:br/>
        <w:t>- **Borrowings**: The company has variable-rate borrowings under its credit facility and term loan. At December 31, 2023, these borrowings totaled $1.89 billion ($1.14 billion under credit facility and $750 million under term loan).</w:t>
        <w:br/>
        <w:t>- **Impact of Interest Rate Changes**: A 0.25% increase in interest rates would result in a $4.7 million annual increase in interest expense.</w:t>
        <w:br/>
        <w:t>- **Interest Rate Exposure Management**: The company monitors and manages its exposure to interest rate changes. They utilize interest rate derivatives to modify interest rate exposure but not to alter leverage.</w:t>
        <w:br/>
        <w:t>- **Debt Portfolio Maturity**: The table provided details the maturity dates and weighted average interest rates of the company's debt portfolio, which is primarily fixed-rate with limited variable-rate exposures.</w:t>
        <w:br/>
        <w:br/>
        <w:t>### Derivative Instruments</w:t>
        <w:br/>
        <w:t>- **Fair Value Measurement**: The company uses the discounted cash flow method and industry-standard option pricing models to estimate and calculate the fair values of its derivative instruments.</w:t>
        <w:br/>
        <w:t>- **Types of Derivatives**: The company deals with various types of derivatives, including joint interest receivables, and uses these to manage risk exposures.</w:t>
        <w:br/>
        <w:br/>
        <w:t>### Grants and Shareholder Transactions</w:t>
        <w:br/>
        <w:t>- **Section 11.3**: This section addresses the cancellation of grants and the fair cash equivalent of any other consideration in such transactions.</w:t>
        <w:br/>
        <w:t>- **Section 2.10 (Code)**: This refers to the Internal Revenue Code of 1986.</w:t>
        <w:br/>
        <w:t>- **Section 2.11 (Committee)**: This section defines the Committee, which administers the Plan and includes the Board when it elects to do so.</w:t>
        <w:br/>
        <w:t>- **Section 2.12 (Common Stock)**: This section specifies the Company's common stock.</w:t>
        <w:br/>
        <w:t>- **Section 2.14 (Consultant)**: This section defines a Consultant, typically someone engaged by the company.</w:t>
        <w:br/>
        <w:br/>
        <w:t>### Oil and Gas Reserves</w:t>
        <w:br/>
        <w:t>- **Undrilled Acreage**: Reserves on undrilled acreage are limited to those directly offsetting development spacing areas, unless specific evidence supports economic producibility at greater distances.</w:t>
        <w:br/>
        <w:t>- **Undrilled Locations**: Undrilled locations can be classified as having undeveloped reserves if a development plan indicates they will be drilled within five years, or longer in specific circumstances.</w:t>
        <w:br/>
        <w:t>- **Techniques**: Estimates for undeveloped reserves cannot be attributed to acreage where fluid injection or other recovery techniques are planned, unless such techniques have been proven effective in the same or analogous reservoirs.</w:t>
        <w:br/>
        <w:br/>
        <w:t>### Summary</w:t>
        <w:br/>
        <w:t>The company manages its financial exposures carefully, especially in relation to credit risk, interest rate risk, and derivative instruments. The company has established clear policies and mechanisms to monitor and mitigate these risks. The reserves management policies ensure that the company only attributes reserves to locations with reasonable certainty of production.</w:t>
        <w:br/>
        <w:br/>
        <w:t>If you have any specific questions or need further elaboration on any of these points, please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